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2D" w:rsidRDefault="00306C2D" w:rsidP="00306C2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 Р О Т О К О Л</w:t>
      </w:r>
    </w:p>
    <w:p w:rsidR="00306C2D" w:rsidRDefault="00306C2D" w:rsidP="00306C2D">
      <w:pPr>
        <w:pStyle w:val="p3"/>
        <w:jc w:val="center"/>
        <w:rPr>
          <w:sz w:val="28"/>
          <w:szCs w:val="28"/>
        </w:rPr>
      </w:pPr>
      <w:r>
        <w:t>ПУБЛИЧНЫХ СЛУШАНИЙ ПО ПРОЕКТУ ПРАВИЛ ЗЕМЛЕПОЛЬЗОВАНИЯ И ЗАСТРОЙКИ</w:t>
      </w:r>
      <w:r>
        <w:rPr>
          <w:rStyle w:val="s1"/>
        </w:rPr>
        <w:t xml:space="preserve"> </w:t>
      </w:r>
      <w:r w:rsidR="00441287">
        <w:rPr>
          <w:rStyle w:val="s1"/>
        </w:rPr>
        <w:t xml:space="preserve">ЧАСТИ ТЕРРИТОРИИ </w:t>
      </w:r>
      <w:r>
        <w:rPr>
          <w:rStyle w:val="s1"/>
        </w:rPr>
        <w:t xml:space="preserve">МУНИЦИПАЛЬНОГО ОБРАЗОВАНИЯ </w:t>
      </w:r>
      <w:r w:rsidR="00441287">
        <w:rPr>
          <w:rStyle w:val="s1"/>
        </w:rPr>
        <w:t>СЕРЕБРОПОЛЬСКИЙ</w:t>
      </w:r>
      <w:r>
        <w:rPr>
          <w:rStyle w:val="s1"/>
        </w:rPr>
        <w:t xml:space="preserve"> СЕЛЬСОВЕТ ТАБУНСКОГО РАЙОНА АЛТАЙСКОГО КРАЯ</w:t>
      </w: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 w:rsidR="00441287">
        <w:rPr>
          <w:sz w:val="28"/>
          <w:szCs w:val="28"/>
        </w:rPr>
        <w:t>Сереброполь</w:t>
      </w:r>
      <w:proofErr w:type="spellEnd"/>
      <w:r>
        <w:rPr>
          <w:sz w:val="28"/>
          <w:szCs w:val="28"/>
        </w:rPr>
        <w:t xml:space="preserve">                                                                         1</w:t>
      </w:r>
      <w:r w:rsidR="00A44BE7">
        <w:rPr>
          <w:sz w:val="28"/>
          <w:szCs w:val="28"/>
        </w:rPr>
        <w:t>6</w:t>
      </w:r>
      <w:r>
        <w:rPr>
          <w:sz w:val="28"/>
          <w:szCs w:val="28"/>
        </w:rPr>
        <w:t xml:space="preserve"> июня 2017 года</w:t>
      </w:r>
    </w:p>
    <w:p w:rsidR="00306C2D" w:rsidRDefault="00306C2D" w:rsidP="00306C2D">
      <w:pPr>
        <w:rPr>
          <w:sz w:val="28"/>
          <w:szCs w:val="28"/>
        </w:rPr>
      </w:pPr>
    </w:p>
    <w:p w:rsidR="00306C2D" w:rsidRDefault="00306C2D" w:rsidP="00306C2D">
      <w:pPr>
        <w:rPr>
          <w:sz w:val="28"/>
          <w:szCs w:val="28"/>
        </w:rPr>
      </w:pP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  <w:proofErr w:type="spellStart"/>
      <w:r w:rsidR="00441287">
        <w:rPr>
          <w:sz w:val="28"/>
          <w:szCs w:val="28"/>
        </w:rPr>
        <w:t>Цинко</w:t>
      </w:r>
      <w:proofErr w:type="spellEnd"/>
      <w:r w:rsidR="00441287">
        <w:rPr>
          <w:sz w:val="28"/>
          <w:szCs w:val="28"/>
        </w:rPr>
        <w:t xml:space="preserve"> Т.Т.</w:t>
      </w:r>
      <w:r>
        <w:rPr>
          <w:sz w:val="28"/>
          <w:szCs w:val="28"/>
        </w:rPr>
        <w:t xml:space="preserve">        -         глава</w:t>
      </w:r>
      <w:r w:rsidR="0044128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сельсовета</w:t>
      </w:r>
    </w:p>
    <w:p w:rsidR="00306C2D" w:rsidRDefault="00306C2D" w:rsidP="00306C2D">
      <w:pPr>
        <w:rPr>
          <w:sz w:val="28"/>
          <w:szCs w:val="28"/>
        </w:rPr>
      </w:pP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  <w:proofErr w:type="spellStart"/>
      <w:r w:rsidR="00441287">
        <w:rPr>
          <w:sz w:val="28"/>
          <w:szCs w:val="28"/>
        </w:rPr>
        <w:t>Емец</w:t>
      </w:r>
      <w:proofErr w:type="spellEnd"/>
      <w:r w:rsidR="00441287">
        <w:rPr>
          <w:sz w:val="28"/>
          <w:szCs w:val="28"/>
        </w:rPr>
        <w:t xml:space="preserve"> Е.В.</w:t>
      </w:r>
      <w:r>
        <w:rPr>
          <w:sz w:val="28"/>
          <w:szCs w:val="28"/>
        </w:rPr>
        <w:t xml:space="preserve">   -           секретарь </w:t>
      </w:r>
      <w:r w:rsidR="0044128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06C2D" w:rsidRDefault="00306C2D" w:rsidP="00306C2D">
      <w:pPr>
        <w:tabs>
          <w:tab w:val="left" w:pos="5655"/>
        </w:tabs>
        <w:rPr>
          <w:sz w:val="28"/>
          <w:szCs w:val="28"/>
        </w:rPr>
      </w:pPr>
      <w:r>
        <w:rPr>
          <w:sz w:val="28"/>
          <w:szCs w:val="28"/>
        </w:rPr>
        <w:tab/>
        <w:t>сельсовета</w:t>
      </w:r>
    </w:p>
    <w:p w:rsidR="00306C2D" w:rsidRDefault="00306C2D" w:rsidP="00306C2D">
      <w:pPr>
        <w:tabs>
          <w:tab w:val="left" w:pos="5655"/>
        </w:tabs>
        <w:rPr>
          <w:sz w:val="28"/>
          <w:szCs w:val="28"/>
        </w:rPr>
      </w:pP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Присутствовало </w:t>
      </w:r>
      <w:r w:rsidR="00441287">
        <w:rPr>
          <w:sz w:val="28"/>
          <w:szCs w:val="28"/>
        </w:rPr>
        <w:t>30</w:t>
      </w:r>
      <w:r>
        <w:rPr>
          <w:sz w:val="28"/>
          <w:szCs w:val="28"/>
        </w:rPr>
        <w:t xml:space="preserve"> человек.</w:t>
      </w:r>
    </w:p>
    <w:p w:rsidR="00306C2D" w:rsidRDefault="00306C2D" w:rsidP="00306C2D">
      <w:pPr>
        <w:rPr>
          <w:sz w:val="28"/>
          <w:szCs w:val="28"/>
        </w:rPr>
      </w:pPr>
      <w:r>
        <w:rPr>
          <w:sz w:val="28"/>
          <w:szCs w:val="28"/>
        </w:rPr>
        <w:t>На публичных слушаниях присутствовали:</w:t>
      </w:r>
    </w:p>
    <w:p w:rsidR="00306C2D" w:rsidRDefault="00441287" w:rsidP="00306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Г.Н.Тымченюк</w:t>
      </w:r>
      <w:proofErr w:type="spellEnd"/>
      <w:r w:rsidR="00306C2D">
        <w:rPr>
          <w:sz w:val="28"/>
          <w:szCs w:val="28"/>
        </w:rPr>
        <w:t xml:space="preserve"> - депутат сельского Совета депутатов, </w:t>
      </w:r>
    </w:p>
    <w:p w:rsidR="00306C2D" w:rsidRDefault="00441287" w:rsidP="00306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С.В.Абрашкина</w:t>
      </w:r>
      <w:proofErr w:type="spellEnd"/>
      <w:r w:rsidR="00306C2D">
        <w:rPr>
          <w:sz w:val="28"/>
          <w:szCs w:val="28"/>
        </w:rPr>
        <w:t xml:space="preserve">  - депутат сельского Совета депутатов,</w:t>
      </w:r>
    </w:p>
    <w:p w:rsidR="00306C2D" w:rsidRDefault="00441287" w:rsidP="00306C2D">
      <w:pPr>
        <w:rPr>
          <w:sz w:val="28"/>
          <w:szCs w:val="28"/>
        </w:rPr>
      </w:pPr>
      <w:r>
        <w:rPr>
          <w:sz w:val="28"/>
          <w:szCs w:val="28"/>
        </w:rPr>
        <w:t>В.А.Егерь</w:t>
      </w:r>
      <w:r w:rsidR="00306C2D">
        <w:rPr>
          <w:sz w:val="28"/>
          <w:szCs w:val="28"/>
        </w:rPr>
        <w:t xml:space="preserve"> – </w:t>
      </w:r>
      <w:r>
        <w:rPr>
          <w:sz w:val="28"/>
          <w:szCs w:val="28"/>
        </w:rPr>
        <w:t>депутат сельского Совета депутатов</w:t>
      </w:r>
      <w:r w:rsidR="00306C2D">
        <w:rPr>
          <w:sz w:val="28"/>
          <w:szCs w:val="28"/>
        </w:rPr>
        <w:t>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>Предмет слушаний: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проекта Правил землепользования и застройки</w:t>
      </w:r>
      <w:r w:rsidR="00441287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44128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На публичные слушания представлены следующие демонстрационные материалы: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Карты градостроительного зонирования Правил землепользования и застройки </w:t>
      </w:r>
      <w:r w:rsidR="00441287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>муниципального образования</w:t>
      </w:r>
      <w:r w:rsidR="00441287">
        <w:rPr>
          <w:sz w:val="28"/>
          <w:szCs w:val="28"/>
        </w:rPr>
        <w:t xml:space="preserve"> </w:t>
      </w:r>
      <w:proofErr w:type="spellStart"/>
      <w:r w:rsidR="00441287">
        <w:rPr>
          <w:sz w:val="28"/>
          <w:szCs w:val="28"/>
        </w:rPr>
        <w:t>Серебропольский</w:t>
      </w:r>
      <w:proofErr w:type="spellEnd"/>
      <w:r w:rsidR="00441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306C2D" w:rsidRDefault="00306C2D" w:rsidP="00306C2D">
      <w:pPr>
        <w:pStyle w:val="p8"/>
        <w:jc w:val="both"/>
      </w:pPr>
      <w:r>
        <w:rPr>
          <w:rStyle w:val="s1"/>
          <w:sz w:val="28"/>
          <w:szCs w:val="28"/>
        </w:rPr>
        <w:t>Основание для проведения публичных слушаний: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проводятся в соответствии с Конституцией Российской Федерации;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29.12.2004 № 191-ФЗ «О введении в действие Градостроительного кодекса Российской Федерации»;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Градостроительным кодексом Российской Федерации;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306C2D" w:rsidRDefault="00306C2D" w:rsidP="00306C2D">
      <w:pPr>
        <w:pStyle w:val="p5"/>
        <w:jc w:val="both"/>
      </w:pPr>
      <w:r>
        <w:rPr>
          <w:sz w:val="28"/>
          <w:szCs w:val="28"/>
        </w:rPr>
        <w:lastRenderedPageBreak/>
        <w:t xml:space="preserve">Уставом муниципального образования </w:t>
      </w:r>
      <w:proofErr w:type="spellStart"/>
      <w:r w:rsidR="0044128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</w:t>
      </w:r>
      <w:r>
        <w:t>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Положением о публичных слушаниях в муниципальном образовании </w:t>
      </w:r>
      <w:proofErr w:type="spellStart"/>
      <w:r w:rsidR="0044128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сельсовет, утвержденным решением сельского Совета депутатов от </w:t>
      </w:r>
      <w:r w:rsidR="00441287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441287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441287">
        <w:rPr>
          <w:sz w:val="28"/>
          <w:szCs w:val="28"/>
        </w:rPr>
        <w:t>5</w:t>
      </w:r>
      <w:r>
        <w:rPr>
          <w:sz w:val="28"/>
          <w:szCs w:val="28"/>
        </w:rPr>
        <w:t xml:space="preserve"> № 8;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 w:rsidR="00197AE1">
        <w:rPr>
          <w:sz w:val="28"/>
          <w:szCs w:val="28"/>
        </w:rPr>
        <w:t>Серебропольского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 от </w:t>
      </w:r>
      <w:r w:rsidR="00A44BE7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A44BE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№ </w:t>
      </w:r>
      <w:r w:rsidR="00A44BE7">
        <w:rPr>
          <w:sz w:val="28"/>
          <w:szCs w:val="28"/>
        </w:rPr>
        <w:t>11</w:t>
      </w:r>
      <w:r>
        <w:rPr>
          <w:sz w:val="28"/>
          <w:szCs w:val="28"/>
        </w:rPr>
        <w:t xml:space="preserve"> «О проведении публичных слушаний по проекту Правил землепользования и застройки </w:t>
      </w:r>
      <w:r w:rsidR="00A44BE7">
        <w:rPr>
          <w:sz w:val="28"/>
          <w:szCs w:val="28"/>
        </w:rPr>
        <w:t xml:space="preserve">части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проекта Правил землепользования и застройки </w:t>
      </w:r>
      <w:r w:rsidR="00A44BE7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 размещены для ознакомления на официальном сайте Администрации района, информация о проведении публичных слушаний обнародована на информационном стенде администрации </w:t>
      </w:r>
      <w:proofErr w:type="spellStart"/>
      <w:r w:rsidR="00A44BE7">
        <w:rPr>
          <w:sz w:val="28"/>
          <w:szCs w:val="28"/>
        </w:rPr>
        <w:t>Серебропольского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</w:t>
      </w:r>
      <w:r w:rsidR="00A44BE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года в здании Администрации </w:t>
      </w:r>
      <w:proofErr w:type="spellStart"/>
      <w:r w:rsidR="00A44BE7">
        <w:rPr>
          <w:sz w:val="28"/>
          <w:szCs w:val="28"/>
        </w:rPr>
        <w:t>Серебропольского</w:t>
      </w:r>
      <w:proofErr w:type="spellEnd"/>
      <w:r>
        <w:rPr>
          <w:sz w:val="28"/>
          <w:szCs w:val="28"/>
        </w:rPr>
        <w:t xml:space="preserve"> сельсовета, расположенного по адресу: Алтайский край, Табунский район, с. </w:t>
      </w:r>
      <w:proofErr w:type="spellStart"/>
      <w:r w:rsidR="00A44BE7">
        <w:rPr>
          <w:sz w:val="28"/>
          <w:szCs w:val="28"/>
        </w:rPr>
        <w:t>Сереброполь</w:t>
      </w:r>
      <w:proofErr w:type="spellEnd"/>
      <w:r>
        <w:rPr>
          <w:sz w:val="28"/>
          <w:szCs w:val="28"/>
        </w:rPr>
        <w:t xml:space="preserve">, ул. </w:t>
      </w:r>
      <w:r w:rsidR="00A44BE7">
        <w:rPr>
          <w:sz w:val="28"/>
          <w:szCs w:val="28"/>
        </w:rPr>
        <w:t>Ленина</w:t>
      </w:r>
      <w:r>
        <w:rPr>
          <w:sz w:val="28"/>
          <w:szCs w:val="28"/>
        </w:rPr>
        <w:t xml:space="preserve">, </w:t>
      </w:r>
      <w:r w:rsidR="00A44BE7">
        <w:rPr>
          <w:sz w:val="28"/>
          <w:szCs w:val="28"/>
        </w:rPr>
        <w:t>7</w:t>
      </w:r>
      <w:r>
        <w:rPr>
          <w:sz w:val="28"/>
          <w:szCs w:val="28"/>
        </w:rPr>
        <w:t xml:space="preserve">5 и на сайте администрации района  жители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могли ознакомиться с материалами проекта Правил землепользования и застройки</w:t>
      </w:r>
      <w:r w:rsidR="00A44BE7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 (далее – Правила). </w:t>
      </w:r>
    </w:p>
    <w:p w:rsidR="00306C2D" w:rsidRDefault="00306C2D" w:rsidP="00306C2D">
      <w:pPr>
        <w:tabs>
          <w:tab w:val="left" w:pos="54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1.             Порядок проведения публичных слушаний.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Рассмотрение проекта Правил землепользования и застройки </w:t>
      </w:r>
      <w:r w:rsidR="00A44BE7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1. СЛУШАЛИ: </w:t>
      </w:r>
      <w:proofErr w:type="spellStart"/>
      <w:r w:rsidR="00A44BE7">
        <w:rPr>
          <w:sz w:val="28"/>
          <w:szCs w:val="28"/>
        </w:rPr>
        <w:t>Емец</w:t>
      </w:r>
      <w:proofErr w:type="spellEnd"/>
      <w:r w:rsidR="00A44BE7">
        <w:rPr>
          <w:sz w:val="28"/>
          <w:szCs w:val="28"/>
        </w:rPr>
        <w:t xml:space="preserve"> Е.В.</w:t>
      </w:r>
      <w:r>
        <w:rPr>
          <w:sz w:val="28"/>
          <w:szCs w:val="28"/>
        </w:rPr>
        <w:t xml:space="preserve"> о порядке проведения публичных слушаний, она предложила следующий порядок: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Выступление главы </w:t>
      </w:r>
      <w:r w:rsidR="00A44BE7">
        <w:rPr>
          <w:sz w:val="28"/>
          <w:szCs w:val="28"/>
        </w:rPr>
        <w:t xml:space="preserve">администрации </w:t>
      </w:r>
      <w:proofErr w:type="spellStart"/>
      <w:r w:rsidR="00A44BE7">
        <w:rPr>
          <w:sz w:val="28"/>
          <w:szCs w:val="28"/>
        </w:rPr>
        <w:t>Серебропольского</w:t>
      </w:r>
      <w:proofErr w:type="spellEnd"/>
      <w:r>
        <w:rPr>
          <w:sz w:val="28"/>
          <w:szCs w:val="28"/>
        </w:rPr>
        <w:t xml:space="preserve"> сельсовета по представленному для рассмотрения проекту Правил землепользования и застройки</w:t>
      </w:r>
      <w:r w:rsidR="00A44BE7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2) Рассмотрение вопросов и предложений участников публичных слушаний.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предложенному порядку проведения публичных слушаний – замечаний и предложений от участников слушаний не поступило. 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публичных слушаний участниками одобрен.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2. ВЫСТУПИЛА: </w:t>
      </w:r>
      <w:proofErr w:type="spellStart"/>
      <w:r w:rsidR="00A44BE7">
        <w:rPr>
          <w:sz w:val="28"/>
          <w:szCs w:val="28"/>
        </w:rPr>
        <w:t>Цинко</w:t>
      </w:r>
      <w:proofErr w:type="spellEnd"/>
      <w:r w:rsidR="00A44BE7">
        <w:rPr>
          <w:sz w:val="28"/>
          <w:szCs w:val="28"/>
        </w:rPr>
        <w:t xml:space="preserve"> Т.Т.</w:t>
      </w:r>
      <w:r>
        <w:rPr>
          <w:sz w:val="28"/>
          <w:szCs w:val="28"/>
        </w:rPr>
        <w:t xml:space="preserve"> -  глава </w:t>
      </w:r>
      <w:r w:rsidR="00A44BE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сельсовета, она ознакомила участников публичных слушаний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проектом Правил землепользования и застройки </w:t>
      </w:r>
      <w:r w:rsidR="00A44BE7">
        <w:rPr>
          <w:sz w:val="28"/>
          <w:szCs w:val="28"/>
        </w:rPr>
        <w:t xml:space="preserve">части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сельсовет, устанавливающих общий порядок осуществления градостроительной деятельности, обязательные для органов государственной власти и местного самоуправления, физических и юридических лиц;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проектами карт градостроительного зонирования. 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В ходе публичных слушаний участникам слушаний было разъяснено, что Правила землепользования и застройки</w:t>
      </w:r>
      <w:r w:rsidR="00A44BE7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 xml:space="preserve"> разработаны </w:t>
      </w:r>
      <w:r w:rsidR="00197AE1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197AE1">
        <w:rPr>
          <w:sz w:val="28"/>
          <w:szCs w:val="28"/>
        </w:rPr>
        <w:t xml:space="preserve">отсутствии </w:t>
      </w:r>
      <w:r>
        <w:rPr>
          <w:sz w:val="28"/>
          <w:szCs w:val="28"/>
        </w:rPr>
        <w:t xml:space="preserve"> Генерального плана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 w:rsidR="00A44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Правила разработаны в целях: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 xml:space="preserve">создания условий для устойчивого развития территории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сельсовет, сохранения окружающей среды и объектов культурного наследия;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</w:r>
      <w:r>
        <w:rPr>
          <w:rStyle w:val="s3"/>
          <w:sz w:val="28"/>
          <w:szCs w:val="28"/>
        </w:rPr>
        <w:t>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Правила регламентируют следующую деятельность органов и должностных лиц местного самоуправления, физических и юридических лиц в области землепользования и застройки: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организация и проведение публичных слушаний по вопросам землепользования и застройки;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организация разработки и согласования, утверждение проектной документации;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выдача разрешений на строительство, разрешений на ввод объекта в эксплуатацию;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организация подготовки документации по планировке территории;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внесение изменений в настоящие Правила.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Карты градостроительного </w:t>
      </w:r>
      <w:proofErr w:type="gramStart"/>
      <w:r>
        <w:rPr>
          <w:sz w:val="28"/>
          <w:szCs w:val="28"/>
        </w:rPr>
        <w:t xml:space="preserve">зонирования </w:t>
      </w:r>
      <w:r w:rsidR="00A44BE7">
        <w:rPr>
          <w:sz w:val="28"/>
          <w:szCs w:val="28"/>
        </w:rPr>
        <w:t xml:space="preserve">части территории </w:t>
      </w:r>
      <w:r>
        <w:rPr>
          <w:sz w:val="28"/>
          <w:szCs w:val="28"/>
        </w:rPr>
        <w:t>поселения муниципального образования</w:t>
      </w:r>
      <w:proofErr w:type="gramEnd"/>
      <w:r>
        <w:rPr>
          <w:sz w:val="28"/>
          <w:szCs w:val="28"/>
        </w:rPr>
        <w:t xml:space="preserve"> являются составной графической частью настоящих Правил. На Картах отображены границы территориальных зон и их кодовые обозначения, определяющие вид территориальной зоны, а также границы зон с особыми условиями</w:t>
      </w:r>
      <w:r w:rsidR="00A44BE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территорий.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rStyle w:val="s3"/>
          <w:sz w:val="28"/>
          <w:szCs w:val="28"/>
        </w:rPr>
        <w:t>Границы территориальных зон установлены с учетом: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rStyle w:val="s3"/>
          <w:sz w:val="28"/>
          <w:szCs w:val="28"/>
        </w:rPr>
        <w:t>функциональных зон и параметров их планируемого развития,</w:t>
      </w:r>
      <w:proofErr w:type="gramStart"/>
      <w:r>
        <w:rPr>
          <w:rStyle w:val="s3"/>
          <w:sz w:val="28"/>
          <w:szCs w:val="28"/>
        </w:rPr>
        <w:t xml:space="preserve"> </w:t>
      </w:r>
      <w:r w:rsidR="00197AE1">
        <w:rPr>
          <w:rStyle w:val="s3"/>
          <w:sz w:val="28"/>
          <w:szCs w:val="28"/>
        </w:rPr>
        <w:t xml:space="preserve"> </w:t>
      </w:r>
      <w:r>
        <w:rPr>
          <w:rStyle w:val="s3"/>
          <w:sz w:val="28"/>
          <w:szCs w:val="28"/>
        </w:rPr>
        <w:t>,</w:t>
      </w:r>
      <w:proofErr w:type="gramEnd"/>
      <w:r>
        <w:rPr>
          <w:rStyle w:val="s3"/>
          <w:sz w:val="28"/>
          <w:szCs w:val="28"/>
        </w:rPr>
        <w:t xml:space="preserve"> Схемой территориального планирования муниципального образования </w:t>
      </w:r>
      <w:r w:rsidR="00197AE1">
        <w:rPr>
          <w:rStyle w:val="s3"/>
          <w:sz w:val="28"/>
          <w:szCs w:val="28"/>
        </w:rPr>
        <w:t xml:space="preserve"> </w:t>
      </w:r>
      <w:r>
        <w:rPr>
          <w:rStyle w:val="s3"/>
          <w:sz w:val="28"/>
          <w:szCs w:val="28"/>
        </w:rPr>
        <w:t xml:space="preserve"> </w:t>
      </w:r>
      <w:proofErr w:type="spellStart"/>
      <w:r>
        <w:rPr>
          <w:rStyle w:val="s3"/>
          <w:sz w:val="28"/>
          <w:szCs w:val="28"/>
        </w:rPr>
        <w:t>Табунск</w:t>
      </w:r>
      <w:r w:rsidR="00197AE1">
        <w:rPr>
          <w:rStyle w:val="s3"/>
          <w:sz w:val="28"/>
          <w:szCs w:val="28"/>
        </w:rPr>
        <w:t>ий</w:t>
      </w:r>
      <w:proofErr w:type="spellEnd"/>
      <w:r>
        <w:rPr>
          <w:rStyle w:val="s3"/>
          <w:sz w:val="28"/>
          <w:szCs w:val="28"/>
        </w:rPr>
        <w:t xml:space="preserve"> район</w:t>
      </w:r>
      <w:r w:rsidR="00197AE1">
        <w:rPr>
          <w:rStyle w:val="s3"/>
          <w:sz w:val="28"/>
          <w:szCs w:val="28"/>
        </w:rPr>
        <w:t xml:space="preserve"> </w:t>
      </w:r>
      <w:r>
        <w:rPr>
          <w:rStyle w:val="s3"/>
          <w:sz w:val="28"/>
          <w:szCs w:val="28"/>
        </w:rPr>
        <w:t>Алтайского края;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сложившейся планировки территории и существующего землепользования;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306C2D" w:rsidRDefault="00306C2D" w:rsidP="00306C2D">
      <w:pPr>
        <w:pStyle w:val="p11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−</w:t>
      </w:r>
      <w:r>
        <w:rPr>
          <w:rStyle w:val="s2"/>
          <w:rFonts w:ascii="Cambria Math" w:hAnsi="Cambria Math"/>
          <w:sz w:val="28"/>
          <w:szCs w:val="28"/>
        </w:rPr>
        <w:t>​</w:t>
      </w:r>
      <w:r>
        <w:rPr>
          <w:rStyle w:val="s2"/>
          <w:sz w:val="28"/>
          <w:szCs w:val="28"/>
        </w:rPr>
        <w:t> </w:t>
      </w:r>
      <w:r>
        <w:rPr>
          <w:sz w:val="28"/>
          <w:szCs w:val="28"/>
        </w:rPr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306C2D" w:rsidRDefault="00306C2D" w:rsidP="00306C2D">
      <w:pPr>
        <w:pStyle w:val="p12"/>
        <w:jc w:val="both"/>
        <w:rPr>
          <w:sz w:val="28"/>
          <w:szCs w:val="28"/>
        </w:rPr>
      </w:pPr>
      <w:r>
        <w:rPr>
          <w:rStyle w:val="s3"/>
          <w:sz w:val="28"/>
          <w:szCs w:val="28"/>
        </w:rPr>
        <w:t xml:space="preserve">На Картах градостроительного зонирования территории населенных пунктов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</w:t>
      </w:r>
      <w:r>
        <w:rPr>
          <w:rStyle w:val="s3"/>
          <w:sz w:val="28"/>
          <w:szCs w:val="28"/>
        </w:rPr>
        <w:t xml:space="preserve"> устанавливаются следующие виды территориальных зон: 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жилая зона (ЖЗ);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 xml:space="preserve">общественно-деловая зона (ОДЗ); 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производственная зона (ПР);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lastRenderedPageBreak/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 xml:space="preserve">зона инженерной инфраструктуры (ИЗ) 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зона транспортной инфраструктуры (ТЗ);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рекреационная зона (РЗ);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зона сельскохозяйственного использования (СХЗ);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зона специального назначения (СНЗ);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>зона акваторий (АЗ);</w:t>
      </w:r>
    </w:p>
    <w:p w:rsidR="00306C2D" w:rsidRDefault="00306C2D" w:rsidP="00306C2D">
      <w:pPr>
        <w:pStyle w:val="p13"/>
        <w:jc w:val="both"/>
        <w:rPr>
          <w:sz w:val="28"/>
          <w:szCs w:val="28"/>
        </w:rPr>
      </w:pPr>
      <w:r>
        <w:rPr>
          <w:rStyle w:val="s6"/>
          <w:sz w:val="28"/>
          <w:szCs w:val="28"/>
        </w:rPr>
        <w:t>−</w:t>
      </w:r>
      <w:r>
        <w:rPr>
          <w:rStyle w:val="s6"/>
          <w:rFonts w:ascii="Cambria Math" w:hAnsi="Cambria Math"/>
          <w:sz w:val="28"/>
          <w:szCs w:val="28"/>
        </w:rPr>
        <w:t>​</w:t>
      </w:r>
      <w:r>
        <w:rPr>
          <w:rStyle w:val="s6"/>
          <w:sz w:val="28"/>
          <w:szCs w:val="28"/>
        </w:rPr>
        <w:t> </w:t>
      </w:r>
      <w:r>
        <w:rPr>
          <w:rStyle w:val="s3"/>
          <w:sz w:val="28"/>
          <w:szCs w:val="28"/>
        </w:rPr>
        <w:t xml:space="preserve">зона резервного фонда (РФ). 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A44BE7">
        <w:rPr>
          <w:sz w:val="28"/>
          <w:szCs w:val="28"/>
        </w:rPr>
        <w:t>Цинко</w:t>
      </w:r>
      <w:proofErr w:type="spellEnd"/>
      <w:r w:rsidR="00A44BE7">
        <w:rPr>
          <w:sz w:val="28"/>
          <w:szCs w:val="28"/>
        </w:rPr>
        <w:t xml:space="preserve"> Т.Т.</w:t>
      </w:r>
      <w:r>
        <w:rPr>
          <w:sz w:val="28"/>
          <w:szCs w:val="28"/>
        </w:rPr>
        <w:t xml:space="preserve"> предложила перейти к вопросам и обсуждению.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Предложений и замечаний, касающихся проекта Правил землепользования и застройки</w:t>
      </w:r>
      <w:r w:rsidR="00A44BE7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 xml:space="preserve">, для включения их в протокол публичных слушаний не поступало. </w:t>
      </w:r>
    </w:p>
    <w:p w:rsidR="00306C2D" w:rsidRDefault="00306C2D" w:rsidP="00306C2D">
      <w:pPr>
        <w:pStyle w:val="p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присутствующие одобрили проект Правил землепользования и застройки </w:t>
      </w:r>
      <w:r w:rsidR="00A44BE7">
        <w:rPr>
          <w:sz w:val="28"/>
          <w:szCs w:val="28"/>
        </w:rPr>
        <w:t xml:space="preserve">части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A44BE7">
        <w:rPr>
          <w:sz w:val="28"/>
          <w:szCs w:val="28"/>
        </w:rPr>
        <w:t>Серебропльский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края. </w:t>
      </w:r>
    </w:p>
    <w:p w:rsidR="00306C2D" w:rsidRDefault="00306C2D" w:rsidP="00306C2D">
      <w:pPr>
        <w:pStyle w:val="p3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ЗАКЛЮЧЕНИЕ </w:t>
      </w:r>
    </w:p>
    <w:p w:rsidR="00306C2D" w:rsidRDefault="00306C2D" w:rsidP="00306C2D">
      <w:pPr>
        <w:pStyle w:val="p3"/>
        <w:jc w:val="both"/>
        <w:rPr>
          <w:sz w:val="28"/>
          <w:szCs w:val="28"/>
        </w:rPr>
      </w:pPr>
      <w:r>
        <w:rPr>
          <w:rStyle w:val="s1"/>
          <w:sz w:val="28"/>
          <w:szCs w:val="28"/>
        </w:rPr>
        <w:t>о результатах публичных слушаний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1. Публичные слушания по проекту Правил землепользования и застройки</w:t>
      </w:r>
      <w:r w:rsidR="00A44BE7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 считать состоявшимися.</w:t>
      </w:r>
    </w:p>
    <w:p w:rsidR="00306C2D" w:rsidRDefault="00306C2D" w:rsidP="00306C2D">
      <w:pPr>
        <w:pStyle w:val="p5"/>
        <w:jc w:val="both"/>
        <w:rPr>
          <w:sz w:val="28"/>
          <w:szCs w:val="28"/>
        </w:rPr>
      </w:pPr>
      <w:r>
        <w:rPr>
          <w:sz w:val="28"/>
          <w:szCs w:val="28"/>
        </w:rPr>
        <w:t>2. Проект Правил землепользования и застройки</w:t>
      </w:r>
      <w:r w:rsidR="00A44BE7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A44BE7">
        <w:rPr>
          <w:sz w:val="28"/>
          <w:szCs w:val="28"/>
        </w:rPr>
        <w:t>Серебропольский</w:t>
      </w:r>
      <w:proofErr w:type="spellEnd"/>
      <w:r w:rsidR="00A44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Табунского</w:t>
      </w:r>
      <w:proofErr w:type="spellEnd"/>
      <w:r>
        <w:rPr>
          <w:sz w:val="28"/>
          <w:szCs w:val="28"/>
        </w:rPr>
        <w:t xml:space="preserve"> района Алтайского края одобрить.</w:t>
      </w:r>
    </w:p>
    <w:p w:rsidR="00306C2D" w:rsidRDefault="00306C2D" w:rsidP="00306C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публичных</w:t>
      </w:r>
      <w:proofErr w:type="gramEnd"/>
      <w:r>
        <w:rPr>
          <w:sz w:val="28"/>
          <w:szCs w:val="28"/>
        </w:rPr>
        <w:t xml:space="preserve">                                                   Т.</w:t>
      </w:r>
      <w:r w:rsidR="00A44BE7">
        <w:rPr>
          <w:sz w:val="28"/>
          <w:szCs w:val="28"/>
        </w:rPr>
        <w:t>Т</w:t>
      </w:r>
      <w:r>
        <w:rPr>
          <w:sz w:val="28"/>
          <w:szCs w:val="28"/>
        </w:rPr>
        <w:t xml:space="preserve">. </w:t>
      </w:r>
      <w:proofErr w:type="spellStart"/>
      <w:r w:rsidR="00A44BE7">
        <w:rPr>
          <w:sz w:val="28"/>
          <w:szCs w:val="28"/>
        </w:rPr>
        <w:t>Цинко</w:t>
      </w:r>
      <w:proofErr w:type="spellEnd"/>
    </w:p>
    <w:p w:rsidR="00306C2D" w:rsidRDefault="00306C2D" w:rsidP="00306C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слушаний:</w:t>
      </w:r>
    </w:p>
    <w:p w:rsidR="00306C2D" w:rsidRDefault="00306C2D" w:rsidP="00306C2D">
      <w:pPr>
        <w:jc w:val="both"/>
        <w:rPr>
          <w:sz w:val="28"/>
          <w:szCs w:val="28"/>
        </w:rPr>
      </w:pPr>
    </w:p>
    <w:p w:rsidR="00306C2D" w:rsidRDefault="00306C2D" w:rsidP="00306C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>публичных</w:t>
      </w:r>
      <w:proofErr w:type="gramEnd"/>
      <w:r>
        <w:rPr>
          <w:sz w:val="28"/>
          <w:szCs w:val="28"/>
        </w:rPr>
        <w:t xml:space="preserve">                                                         </w:t>
      </w:r>
    </w:p>
    <w:p w:rsidR="00306C2D" w:rsidRDefault="00A44BE7" w:rsidP="00A44BE7">
      <w:pPr>
        <w:tabs>
          <w:tab w:val="left" w:pos="711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6C2D">
        <w:rPr>
          <w:sz w:val="28"/>
          <w:szCs w:val="28"/>
        </w:rPr>
        <w:t>лушаний: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Е.В.Емец</w:t>
      </w:r>
      <w:proofErr w:type="spellEnd"/>
    </w:p>
    <w:p w:rsidR="00306C2D" w:rsidRDefault="00306C2D" w:rsidP="00306C2D">
      <w:pPr>
        <w:jc w:val="both"/>
        <w:rPr>
          <w:sz w:val="28"/>
          <w:szCs w:val="28"/>
        </w:rPr>
      </w:pPr>
    </w:p>
    <w:p w:rsidR="00306C2D" w:rsidRDefault="00306C2D"/>
    <w:sectPr w:rsidR="00306C2D" w:rsidSect="005C4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06C2D"/>
    <w:rsid w:val="000022B3"/>
    <w:rsid w:val="00197AE1"/>
    <w:rsid w:val="00306C2D"/>
    <w:rsid w:val="00441287"/>
    <w:rsid w:val="005C4751"/>
    <w:rsid w:val="00A44BE7"/>
    <w:rsid w:val="00B46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C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306C2D"/>
    <w:pPr>
      <w:spacing w:before="100" w:beforeAutospacing="1" w:after="100" w:afterAutospacing="1"/>
    </w:pPr>
  </w:style>
  <w:style w:type="paragraph" w:customStyle="1" w:styleId="p5">
    <w:name w:val="p5"/>
    <w:basedOn w:val="a"/>
    <w:rsid w:val="00306C2D"/>
    <w:pPr>
      <w:spacing w:before="100" w:beforeAutospacing="1" w:after="100" w:afterAutospacing="1"/>
    </w:pPr>
  </w:style>
  <w:style w:type="paragraph" w:customStyle="1" w:styleId="p8">
    <w:name w:val="p8"/>
    <w:basedOn w:val="a"/>
    <w:rsid w:val="00306C2D"/>
    <w:pPr>
      <w:spacing w:before="100" w:beforeAutospacing="1" w:after="100" w:afterAutospacing="1"/>
    </w:pPr>
  </w:style>
  <w:style w:type="paragraph" w:customStyle="1" w:styleId="p11">
    <w:name w:val="p11"/>
    <w:basedOn w:val="a"/>
    <w:rsid w:val="00306C2D"/>
    <w:pPr>
      <w:spacing w:before="100" w:beforeAutospacing="1" w:after="100" w:afterAutospacing="1"/>
    </w:pPr>
  </w:style>
  <w:style w:type="paragraph" w:customStyle="1" w:styleId="p12">
    <w:name w:val="p12"/>
    <w:basedOn w:val="a"/>
    <w:rsid w:val="00306C2D"/>
    <w:pPr>
      <w:spacing w:before="100" w:beforeAutospacing="1" w:after="100" w:afterAutospacing="1"/>
    </w:pPr>
  </w:style>
  <w:style w:type="paragraph" w:customStyle="1" w:styleId="p13">
    <w:name w:val="p13"/>
    <w:basedOn w:val="a"/>
    <w:rsid w:val="00306C2D"/>
    <w:pPr>
      <w:spacing w:before="100" w:beforeAutospacing="1" w:after="100" w:afterAutospacing="1"/>
    </w:pPr>
  </w:style>
  <w:style w:type="character" w:customStyle="1" w:styleId="s1">
    <w:name w:val="s1"/>
    <w:basedOn w:val="a0"/>
    <w:rsid w:val="00306C2D"/>
  </w:style>
  <w:style w:type="character" w:customStyle="1" w:styleId="s2">
    <w:name w:val="s2"/>
    <w:basedOn w:val="a0"/>
    <w:rsid w:val="00306C2D"/>
  </w:style>
  <w:style w:type="character" w:customStyle="1" w:styleId="s3">
    <w:name w:val="s3"/>
    <w:basedOn w:val="a0"/>
    <w:rsid w:val="00306C2D"/>
  </w:style>
  <w:style w:type="character" w:customStyle="1" w:styleId="s5">
    <w:name w:val="s5"/>
    <w:basedOn w:val="a0"/>
    <w:rsid w:val="00306C2D"/>
  </w:style>
  <w:style w:type="character" w:customStyle="1" w:styleId="s6">
    <w:name w:val="s6"/>
    <w:basedOn w:val="a0"/>
    <w:rsid w:val="00306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1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Отдел архитектуры и градостроительства</cp:lastModifiedBy>
  <cp:revision>6</cp:revision>
  <dcterms:created xsi:type="dcterms:W3CDTF">2017-10-17T03:00:00Z</dcterms:created>
  <dcterms:modified xsi:type="dcterms:W3CDTF">2017-11-29T03:00:00Z</dcterms:modified>
</cp:coreProperties>
</file>