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275" w:rsidRPr="00F82047" w:rsidRDefault="00360275" w:rsidP="00B6523E">
      <w:pPr>
        <w:contextualSpacing/>
        <w:jc w:val="center"/>
        <w:rPr>
          <w:b/>
        </w:rPr>
      </w:pPr>
      <w:bookmarkStart w:id="0" w:name="_GoBack"/>
      <w:bookmarkEnd w:id="0"/>
      <w:r w:rsidRPr="00F82047">
        <w:rPr>
          <w:b/>
        </w:rPr>
        <w:t xml:space="preserve">Основные направления </w:t>
      </w:r>
      <w:proofErr w:type="gramStart"/>
      <w:r w:rsidRPr="00F82047">
        <w:rPr>
          <w:b/>
        </w:rPr>
        <w:t>бюджетной</w:t>
      </w:r>
      <w:proofErr w:type="gramEnd"/>
      <w:r w:rsidRPr="00F82047">
        <w:rPr>
          <w:b/>
        </w:rPr>
        <w:t xml:space="preserve"> и</w:t>
      </w:r>
    </w:p>
    <w:p w:rsidR="00360275" w:rsidRPr="00F82047" w:rsidRDefault="00360275" w:rsidP="00B6523E">
      <w:pPr>
        <w:contextualSpacing/>
        <w:jc w:val="center"/>
        <w:rPr>
          <w:b/>
        </w:rPr>
      </w:pPr>
      <w:r w:rsidRPr="00F82047">
        <w:rPr>
          <w:b/>
        </w:rPr>
        <w:t xml:space="preserve">налоговой политики </w:t>
      </w:r>
      <w:r w:rsidR="00AA192F">
        <w:rPr>
          <w:b/>
        </w:rPr>
        <w:t>Табунского</w:t>
      </w:r>
      <w:r w:rsidRPr="00F82047">
        <w:rPr>
          <w:b/>
        </w:rPr>
        <w:t xml:space="preserve"> муниципального района </w:t>
      </w:r>
    </w:p>
    <w:p w:rsidR="00360275" w:rsidRPr="00F82047" w:rsidRDefault="00360275" w:rsidP="00B6523E">
      <w:pPr>
        <w:contextualSpacing/>
        <w:jc w:val="center"/>
        <w:rPr>
          <w:b/>
        </w:rPr>
      </w:pPr>
      <w:r w:rsidRPr="00F82047">
        <w:rPr>
          <w:b/>
        </w:rPr>
        <w:t>на 20</w:t>
      </w:r>
      <w:r w:rsidR="00F9179A">
        <w:rPr>
          <w:b/>
        </w:rPr>
        <w:t>20</w:t>
      </w:r>
      <w:r w:rsidRPr="00F82047">
        <w:rPr>
          <w:b/>
        </w:rPr>
        <w:t xml:space="preserve"> год </w:t>
      </w:r>
    </w:p>
    <w:p w:rsidR="00360275" w:rsidRPr="004F75D6" w:rsidRDefault="00360275" w:rsidP="00B6523E">
      <w:pPr>
        <w:contextualSpacing/>
        <w:jc w:val="center"/>
        <w:rPr>
          <w:sz w:val="20"/>
          <w:szCs w:val="20"/>
        </w:rPr>
      </w:pPr>
    </w:p>
    <w:p w:rsidR="004C5854" w:rsidRPr="002C2211" w:rsidRDefault="00131A63" w:rsidP="00386DC3">
      <w:pPr>
        <w:ind w:firstLine="709"/>
        <w:contextualSpacing/>
        <w:jc w:val="both"/>
        <w:rPr>
          <w:color w:val="FF0000"/>
        </w:rPr>
      </w:pPr>
      <w:proofErr w:type="gramStart"/>
      <w:r w:rsidRPr="00131A63">
        <w:t>Основные направления бюджетной и налоговой политики Табунского муниципального района (далее – район) на 2020 год подготовлены в соответствии со статьями 172, 184.2 Бюджетного кодекса Российской Федерации, указов Президента  Российской  Федерации  от  7  мая  2012  года, Посланием Президента Российской Федерации Федеральному собранию от 01.03.2018, Федеральным законом от 06.10.2003 № 131-ФЗ «Об общих принципах организации местного самоуправления в Российской Федерации», решением районного Совета депутатов</w:t>
      </w:r>
      <w:proofErr w:type="gramEnd"/>
      <w:r w:rsidRPr="00131A63">
        <w:t xml:space="preserve"> от 05 марта 2014 года № 8 «Об утверждении Положения о бюджетном устройстве, бюджетном процессе и финансовом контроле в муниципальном образовании </w:t>
      </w:r>
      <w:proofErr w:type="spellStart"/>
      <w:r w:rsidRPr="00131A63">
        <w:t>Табунский</w:t>
      </w:r>
      <w:proofErr w:type="spellEnd"/>
      <w:r w:rsidRPr="00131A63">
        <w:t xml:space="preserve"> район Алтайского края», а также с учетом прогноза социально-экономического развития района.</w:t>
      </w:r>
    </w:p>
    <w:p w:rsidR="00806A51" w:rsidRDefault="0011660A" w:rsidP="00131A63">
      <w:pPr>
        <w:contextualSpacing/>
        <w:jc w:val="both"/>
      </w:pPr>
      <w:r>
        <w:t xml:space="preserve">           </w:t>
      </w:r>
      <w:proofErr w:type="gramStart"/>
      <w:r w:rsidR="00806A51">
        <w:t xml:space="preserve">Целями бюджетной и налоговой политики обозначены:  безусловное достижение целевых показателей, определенных </w:t>
      </w:r>
      <w:r w:rsidR="00131A63">
        <w:t>муниципальными и региональными</w:t>
      </w:r>
      <w:r w:rsidR="00806A51">
        <w:t xml:space="preserve"> программами; реализация планируемых мероприятий, разработанных для программы социально-экономического развития </w:t>
      </w:r>
      <w:r w:rsidR="00131A63">
        <w:t>района</w:t>
      </w:r>
      <w:r w:rsidR="00806A51">
        <w:t xml:space="preserve">, способствующие повышению уровня и качества жизни населения, поддержке реального сектора экономики </w:t>
      </w:r>
      <w:r w:rsidR="00131A63">
        <w:t>района</w:t>
      </w:r>
      <w:r w:rsidR="00806A51">
        <w:t xml:space="preserve">, стимулированию инвестиционной активности. </w:t>
      </w:r>
      <w:proofErr w:type="gramEnd"/>
    </w:p>
    <w:p w:rsidR="00131A63" w:rsidRDefault="00806A51" w:rsidP="00806A51">
      <w:pPr>
        <w:ind w:firstLine="709"/>
        <w:contextualSpacing/>
        <w:jc w:val="both"/>
      </w:pPr>
      <w:proofErr w:type="gramStart"/>
      <w:r>
        <w:t>Пар</w:t>
      </w:r>
      <w:r w:rsidR="00131A63">
        <w:t xml:space="preserve">аметры </w:t>
      </w:r>
      <w:r w:rsidR="00F9179A">
        <w:t>районного</w:t>
      </w:r>
      <w:r w:rsidR="00131A63">
        <w:t xml:space="preserve"> бюджета на 2020</w:t>
      </w:r>
      <w:r>
        <w:t xml:space="preserve"> год определены   </w:t>
      </w:r>
      <w:r w:rsidR="00131A63">
        <w:t xml:space="preserve">с </w:t>
      </w:r>
      <w:r>
        <w:t xml:space="preserve">учетом задач, обозначенных в Указе Президента Российской Федерации от 07.05.2018 № 204 «О национальных целях и стратегических задачах развития Российской Федерации на период до 2024 года» для достижения целевых показателей, установленных </w:t>
      </w:r>
      <w:r w:rsidR="00131A63">
        <w:t>району</w:t>
      </w:r>
      <w:r>
        <w:t xml:space="preserve">. </w:t>
      </w:r>
      <w:proofErr w:type="gramEnd"/>
    </w:p>
    <w:p w:rsidR="00806A51" w:rsidRDefault="00806A51" w:rsidP="00806A51">
      <w:pPr>
        <w:ind w:firstLine="709"/>
        <w:contextualSpacing/>
        <w:jc w:val="both"/>
      </w:pPr>
      <w:proofErr w:type="gramStart"/>
      <w:r>
        <w:t>Ключевыми задачами бюджетной и налоговой политики определены:</w:t>
      </w:r>
      <w:proofErr w:type="gramEnd"/>
    </w:p>
    <w:p w:rsidR="00806A51" w:rsidRDefault="00806A51" w:rsidP="00806A51">
      <w:pPr>
        <w:ind w:firstLine="709"/>
        <w:contextualSpacing/>
        <w:jc w:val="both"/>
      </w:pPr>
      <w:r>
        <w:t>продолжение взаимодействия органов исполнительной власти и органов местного самоуправления с главными администраторами налоговых и неналоговых доходов бюджета в целях улучшения качества администрирования доходов;</w:t>
      </w:r>
    </w:p>
    <w:p w:rsidR="00806A51" w:rsidRDefault="00806A51" w:rsidP="00806A51">
      <w:pPr>
        <w:ind w:firstLine="709"/>
        <w:contextualSpacing/>
        <w:jc w:val="both"/>
      </w:pPr>
      <w:r>
        <w:t>сохранение стабильности налоговой нагрузки и полноты выявления плательщиков;</w:t>
      </w:r>
    </w:p>
    <w:p w:rsidR="00806A51" w:rsidRDefault="00806A51" w:rsidP="00806A51">
      <w:pPr>
        <w:ind w:firstLine="709"/>
        <w:contextualSpacing/>
        <w:jc w:val="both"/>
      </w:pPr>
      <w:r>
        <w:t>сохранение и дальнейшее развитие налогового потенциала, в том числе посредством стимулирования реального сектора экономики, малого предпринимательства, формирования благоприятных условий для развития бизнеса, привлечения инвестиций;</w:t>
      </w:r>
    </w:p>
    <w:p w:rsidR="00806A51" w:rsidRDefault="00806A51" w:rsidP="00806A51">
      <w:pPr>
        <w:ind w:firstLine="709"/>
        <w:contextualSpacing/>
        <w:jc w:val="both"/>
      </w:pPr>
      <w:r>
        <w:t xml:space="preserve">безусловное исполнение принятых обязательств перед работниками бюджетной сферы, населением </w:t>
      </w:r>
      <w:r w:rsidR="00F9179A">
        <w:t>района</w:t>
      </w:r>
      <w:r>
        <w:t>, в том числе в части индексации оплаты труда и социальной поддержки отдельных категорий граждан, имеющих право на ее получение в соответствии с действующим законодательством;</w:t>
      </w:r>
    </w:p>
    <w:p w:rsidR="00806A51" w:rsidRDefault="00806A51" w:rsidP="00806A51">
      <w:pPr>
        <w:ind w:firstLine="709"/>
        <w:contextualSpacing/>
        <w:jc w:val="both"/>
      </w:pPr>
      <w:r>
        <w:t xml:space="preserve">повышение финансовой дисциплины органов исполнительной власти </w:t>
      </w:r>
      <w:r w:rsidR="00F9179A">
        <w:t>района</w:t>
      </w:r>
      <w:r>
        <w:t xml:space="preserve"> и </w:t>
      </w:r>
      <w:r w:rsidR="00F9179A">
        <w:t>поселений</w:t>
      </w:r>
      <w:r>
        <w:t>;</w:t>
      </w:r>
    </w:p>
    <w:p w:rsidR="00806A51" w:rsidRDefault="00806A51" w:rsidP="00806A51">
      <w:pPr>
        <w:ind w:firstLine="709"/>
        <w:contextualSpacing/>
        <w:jc w:val="both"/>
      </w:pPr>
      <w:r>
        <w:t>реализация программно-целевого принципа формирования местных бюджетов;</w:t>
      </w:r>
    </w:p>
    <w:p w:rsidR="00806A51" w:rsidRDefault="00806A51" w:rsidP="00806A51">
      <w:pPr>
        <w:ind w:firstLine="709"/>
        <w:contextualSpacing/>
        <w:jc w:val="both"/>
      </w:pPr>
      <w:r>
        <w:t xml:space="preserve">повышение качества взаимодействия между органами исполнительной власти </w:t>
      </w:r>
      <w:r w:rsidR="00F9179A">
        <w:t>района</w:t>
      </w:r>
      <w:r>
        <w:t xml:space="preserve"> и </w:t>
      </w:r>
      <w:r w:rsidR="00F9179A">
        <w:t>поселениями</w:t>
      </w:r>
      <w:r>
        <w:t xml:space="preserve"> как инструмента сохранения устойчивости и сбалансированности местных бюджетов в условиях изменения бюджетного законодательства;</w:t>
      </w:r>
    </w:p>
    <w:p w:rsidR="00806A51" w:rsidRDefault="00806A51" w:rsidP="00806A51">
      <w:pPr>
        <w:ind w:firstLine="709"/>
        <w:contextualSpacing/>
        <w:jc w:val="both"/>
      </w:pPr>
      <w:r>
        <w:t xml:space="preserve">соблюдение открытости и прозрачности бюджетного процесса, финансовой грамотности граждан, поддержки и </w:t>
      </w:r>
      <w:proofErr w:type="gramStart"/>
      <w:r>
        <w:t>развития</w:t>
      </w:r>
      <w:proofErr w:type="gramEnd"/>
      <w:r>
        <w:t xml:space="preserve"> общедоступных информационно-аналитических ресурсов.</w:t>
      </w:r>
    </w:p>
    <w:p w:rsidR="00F9179A" w:rsidRDefault="00806A51" w:rsidP="00806A51">
      <w:pPr>
        <w:ind w:firstLine="709"/>
        <w:contextualSpacing/>
        <w:jc w:val="both"/>
      </w:pPr>
      <w:proofErr w:type="gramStart"/>
      <w:r>
        <w:t xml:space="preserve">Мероприятия, направленные на увеличение налоговых и неналоговых доходов консолидированного бюджета </w:t>
      </w:r>
      <w:r w:rsidR="00F9179A">
        <w:t>района</w:t>
      </w:r>
      <w:r>
        <w:t xml:space="preserve">, на устранение неэффективных налоговых расходов (льгот), пониженных ставок по налогам и отмену установленных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продолжатся в рамках реализации программы по росту доходного потенциала и по оптимизации расходов консолидированного бюджета </w:t>
      </w:r>
      <w:r w:rsidR="00F9179A">
        <w:t>района</w:t>
      </w:r>
      <w:proofErr w:type="gramEnd"/>
    </w:p>
    <w:p w:rsidR="00F9179A" w:rsidRDefault="00F9179A" w:rsidP="00806A51">
      <w:pPr>
        <w:ind w:firstLine="709"/>
        <w:contextualSpacing/>
        <w:jc w:val="both"/>
      </w:pPr>
    </w:p>
    <w:p w:rsidR="00806A51" w:rsidRDefault="00806A51" w:rsidP="00806A51">
      <w:pPr>
        <w:ind w:firstLine="709"/>
        <w:contextualSpacing/>
        <w:jc w:val="both"/>
      </w:pPr>
      <w:r>
        <w:t xml:space="preserve">. </w:t>
      </w:r>
    </w:p>
    <w:p w:rsidR="00806A51" w:rsidRDefault="00806A51" w:rsidP="00806A51">
      <w:pPr>
        <w:ind w:firstLine="709"/>
        <w:contextualSpacing/>
        <w:jc w:val="both"/>
      </w:pPr>
    </w:p>
    <w:p w:rsidR="00806A51" w:rsidRPr="009416D7" w:rsidRDefault="00806A51" w:rsidP="00806A51">
      <w:pPr>
        <w:ind w:firstLine="709"/>
        <w:contextualSpacing/>
        <w:jc w:val="both"/>
        <w:rPr>
          <w:b/>
        </w:rPr>
      </w:pPr>
      <w:r w:rsidRPr="009416D7">
        <w:rPr>
          <w:b/>
        </w:rPr>
        <w:lastRenderedPageBreak/>
        <w:t xml:space="preserve">Основные направления налоговой политики </w:t>
      </w:r>
      <w:r w:rsidR="009416D7">
        <w:rPr>
          <w:b/>
        </w:rPr>
        <w:t>района</w:t>
      </w:r>
    </w:p>
    <w:p w:rsidR="00806A51" w:rsidRDefault="00806A51" w:rsidP="00806A51">
      <w:pPr>
        <w:ind w:firstLine="709"/>
        <w:contextualSpacing/>
        <w:jc w:val="both"/>
        <w:rPr>
          <w:b/>
        </w:rPr>
      </w:pPr>
      <w:r w:rsidRPr="009416D7">
        <w:rPr>
          <w:b/>
        </w:rPr>
        <w:t xml:space="preserve">на 2020 год </w:t>
      </w:r>
    </w:p>
    <w:p w:rsidR="009416D7" w:rsidRDefault="009416D7" w:rsidP="00806A51">
      <w:pPr>
        <w:ind w:firstLine="709"/>
        <w:contextualSpacing/>
        <w:jc w:val="both"/>
      </w:pPr>
    </w:p>
    <w:p w:rsidR="00806A51" w:rsidRDefault="00806A51" w:rsidP="00806A51">
      <w:pPr>
        <w:ind w:firstLine="709"/>
        <w:contextualSpacing/>
        <w:jc w:val="both"/>
      </w:pPr>
      <w:r>
        <w:t>Основные направления налоговой политики ориентированы на формирование стабильных налоговых условий, на сохранение достигнутого уровня налогового потенциала и создание условий для дальнейшего роста налоговых и неналоговых доходов бюджета, на обеспечение эффективности налоговой системы, способствующей повышению качества администрирования доходов</w:t>
      </w:r>
      <w:r w:rsidR="00725BA6">
        <w:t>.</w:t>
      </w:r>
    </w:p>
    <w:p w:rsidR="00806A51" w:rsidRDefault="00806A51" w:rsidP="00806A51">
      <w:pPr>
        <w:ind w:firstLine="709"/>
        <w:contextualSpacing/>
        <w:jc w:val="both"/>
      </w:pPr>
      <w:r>
        <w:t xml:space="preserve">Основные направления налоговой политики </w:t>
      </w:r>
      <w:r w:rsidR="00725BA6">
        <w:t>района</w:t>
      </w:r>
      <w:r>
        <w:t xml:space="preserve"> в 2020 </w:t>
      </w:r>
      <w:r w:rsidR="00725BA6">
        <w:t xml:space="preserve">году </w:t>
      </w:r>
      <w:r>
        <w:t xml:space="preserve">будут проводиться с учетом реализации изменений, принятых федеральными законами, рассматриваемых в законопроектах и с учетом реализации  программы мероприятий по росту доходного потенциала и оптимизации расходов бюджета </w:t>
      </w:r>
      <w:r w:rsidR="00725BA6">
        <w:t>района,</w:t>
      </w:r>
      <w:r>
        <w:t xml:space="preserve"> утвержденной </w:t>
      </w:r>
      <w:r w:rsidR="009416D7">
        <w:t>постановлением Администрации района № 296 от 03.12.2018 года.</w:t>
      </w:r>
    </w:p>
    <w:p w:rsidR="00806A51" w:rsidRDefault="00806A51" w:rsidP="00806A51">
      <w:pPr>
        <w:ind w:firstLine="709"/>
        <w:contextualSpacing/>
        <w:jc w:val="both"/>
      </w:pPr>
      <w:r>
        <w:t xml:space="preserve">По налогу на доходы физических лиц предусмотрено: </w:t>
      </w:r>
    </w:p>
    <w:p w:rsidR="00806A51" w:rsidRDefault="00806A51" w:rsidP="00806A51">
      <w:pPr>
        <w:ind w:firstLine="709"/>
        <w:contextualSpacing/>
        <w:jc w:val="both"/>
      </w:pPr>
      <w:r>
        <w:t>сокращение с пяти до трех лет минимального предельного срока владения объектом недвижимого имущества, по истечении которого доход, полученный физическим лицом от продажи такого объекта, освобождается от налогообложения, в случае если объект недвижимого имущества в соответствии с жилищным законодательством Российской Федерации является единственным жилым помещением, находящимся в собственности налогоплательщика;</w:t>
      </w:r>
    </w:p>
    <w:p w:rsidR="00806A51" w:rsidRDefault="00806A51" w:rsidP="00806A51">
      <w:pPr>
        <w:ind w:firstLine="709"/>
        <w:contextualSpacing/>
        <w:jc w:val="both"/>
      </w:pPr>
      <w:r>
        <w:t>уточнение порядка и особенностей определения налоговой базы по налогу на доходы физических лиц при продаже недвижимого имущества и по доходам от дарения недвижимости;</w:t>
      </w:r>
    </w:p>
    <w:p w:rsidR="00806A51" w:rsidRDefault="00806A51" w:rsidP="00806A51">
      <w:pPr>
        <w:ind w:firstLine="709"/>
        <w:contextualSpacing/>
        <w:jc w:val="both"/>
      </w:pPr>
      <w:r>
        <w:t>уточнение условий предоставления и применения имущественных налоговых вычетов.</w:t>
      </w:r>
    </w:p>
    <w:p w:rsidR="00806A51" w:rsidRDefault="00806A51" w:rsidP="00806A51">
      <w:pPr>
        <w:ind w:firstLine="709"/>
        <w:contextualSpacing/>
        <w:jc w:val="both"/>
      </w:pPr>
      <w:r>
        <w:t>На 2020 год коэффициент, отражающий региональные особенности рынка труда на территории Алтайского края для исчисления размера фиксированного авансового платежа по налогу на доходы физических лиц, уплачиваемого иностранными гражданами, осуществляющими                  трудовую деятельность по найму на основании патента, сохранен на уровне 2019 года (1,76).</w:t>
      </w:r>
    </w:p>
    <w:p w:rsidR="00806A51" w:rsidRDefault="00806A51" w:rsidP="00806A51">
      <w:pPr>
        <w:ind w:firstLine="709"/>
        <w:contextualSpacing/>
        <w:jc w:val="both"/>
      </w:pPr>
      <w:r>
        <w:t>Предусмотрено введение запрета на применение единого налога на вмененный доход и патентной системы налогообложения в отношении розничной торговли по реализации лекарственных препаратов, обувных товаров и предметов одежды, принадлежностей к одежде и прочих изделий, из натурального меха, подлежащих обязательной маркировке средствами идентификации, в том числе контрольными (идентификационными) знаками.</w:t>
      </w:r>
    </w:p>
    <w:p w:rsidR="00806A51" w:rsidRDefault="00806A51" w:rsidP="00806A51">
      <w:pPr>
        <w:ind w:firstLine="709"/>
        <w:contextualSpacing/>
        <w:jc w:val="both"/>
      </w:pPr>
      <w:r>
        <w:t>С 2021 года предусмотрена отмена единого налога на вмененный доход, зачисляемого в бюджеты муниципальных образований.</w:t>
      </w:r>
    </w:p>
    <w:p w:rsidR="00806A51" w:rsidRDefault="00806A51" w:rsidP="00806A51">
      <w:pPr>
        <w:ind w:firstLine="709"/>
        <w:contextualSpacing/>
        <w:jc w:val="both"/>
      </w:pPr>
      <w:proofErr w:type="gramStart"/>
      <w:r>
        <w:t>Для организаций, начиная с налогового периода за 2020 год, отменена обязанность по предоставлению налоговых деклараций по транспортному     и земельному налогам.</w:t>
      </w:r>
      <w:proofErr w:type="gramEnd"/>
    </w:p>
    <w:p w:rsidR="00806A51" w:rsidRDefault="00806A51" w:rsidP="00806A51">
      <w:pPr>
        <w:ind w:firstLine="709"/>
        <w:contextualSpacing/>
        <w:jc w:val="both"/>
      </w:pPr>
      <w:r>
        <w:t>С 1 января 2021 года для налогоплательщиков-организаций срок уплаты транспортного и земельного налога устанавливается Налоговым кодексом Российской Федерации – не позднее 1 марта года, следующего за истекшим налоговым периодом, срок уплаты авансовых платежей – не позднее последнего числа месяца, следующего за отчетным периодом.</w:t>
      </w:r>
    </w:p>
    <w:p w:rsidR="00806A51" w:rsidRDefault="00806A51" w:rsidP="00806A51">
      <w:pPr>
        <w:ind w:firstLine="709"/>
        <w:contextualSpacing/>
        <w:jc w:val="both"/>
      </w:pPr>
      <w:r>
        <w:t>По плате за негативное воздействие на окружающую среду, зачисляемой в бюджет субъекта, предусмотрено увеличе</w:t>
      </w:r>
      <w:r w:rsidR="00725BA6">
        <w:t xml:space="preserve">ние норматива </w:t>
      </w:r>
      <w:r>
        <w:t>на 5 процентов (с 95 до 100 процентов) в части увеличения норматива в бюджеты городских округов и муниципальных районов с 55 до 60 процентов.</w:t>
      </w:r>
    </w:p>
    <w:p w:rsidR="00806A51" w:rsidRDefault="00806A51" w:rsidP="00806A51">
      <w:pPr>
        <w:ind w:firstLine="709"/>
        <w:contextualSpacing/>
        <w:jc w:val="both"/>
      </w:pPr>
      <w:proofErr w:type="gramStart"/>
      <w:r>
        <w:t>Установлен новый принцип зачисления доходов от штрафов в бюджетную систему, согласно которому: уплаченные суммы за административные правонарушения должны поступать в полном объеме в тот бюджет, из которого осуществляется финансовое обеспечение деятельности органа, налагающего штраф; в части правонарушений в финансовой сфере - в тот бюджет, из которого были предоставлены бюджетные средства;</w:t>
      </w:r>
      <w:proofErr w:type="gramEnd"/>
      <w:r>
        <w:t xml:space="preserve"> суммы административных штрафов, установленные федеральными законами, будут зачисляться в федеральный бюджет, законами субъектов Российской Федерации - в региональный бюджет, муниципальными правовыми актами - в муниципальные бюджеты.</w:t>
      </w:r>
    </w:p>
    <w:p w:rsidR="00806A51" w:rsidRDefault="00806A51" w:rsidP="00806A51">
      <w:pPr>
        <w:ind w:firstLine="709"/>
        <w:contextualSpacing/>
        <w:jc w:val="both"/>
      </w:pPr>
      <w:r>
        <w:lastRenderedPageBreak/>
        <w:t xml:space="preserve">Предусмотрен поэтапный переход на оказание налоговых услуг через филиалы многофункциональных центров. Определен порядок взаимодействия налоговых органов и МФЦ. </w:t>
      </w:r>
    </w:p>
    <w:p w:rsidR="00806A51" w:rsidRDefault="00806A51" w:rsidP="00806A51">
      <w:pPr>
        <w:ind w:firstLine="709"/>
        <w:contextualSpacing/>
        <w:jc w:val="both"/>
      </w:pPr>
      <w:r>
        <w:t>В части специальных налоговых режимов планируется:</w:t>
      </w:r>
    </w:p>
    <w:p w:rsidR="00806A51" w:rsidRDefault="00806A51" w:rsidP="00806A51">
      <w:pPr>
        <w:ind w:firstLine="709"/>
        <w:contextualSpacing/>
        <w:jc w:val="both"/>
      </w:pPr>
      <w:r>
        <w:t>установление переходного периода для налогоплательщиков, которыми не соблюдены условия применения упрощенной системы налогообложения;</w:t>
      </w:r>
    </w:p>
    <w:p w:rsidR="00806A51" w:rsidRDefault="00806A51" w:rsidP="00806A51">
      <w:pPr>
        <w:ind w:firstLine="709"/>
        <w:contextualSpacing/>
        <w:jc w:val="both"/>
      </w:pPr>
      <w:r>
        <w:t>отмена представления налоговых деклараций индивидуальными предпринимателями, применяющими упрощенную систему налогообложения в виде доходов и использующих контрольно-кассовую технику;</w:t>
      </w:r>
    </w:p>
    <w:p w:rsidR="00806A51" w:rsidRDefault="00806A51" w:rsidP="00806A51">
      <w:pPr>
        <w:ind w:firstLine="709"/>
        <w:contextualSpacing/>
        <w:jc w:val="both"/>
      </w:pPr>
      <w:r>
        <w:t>расширение перечня видов предпринимательской деятельности по патентной системе налогообложения.</w:t>
      </w:r>
    </w:p>
    <w:p w:rsidR="00806A51" w:rsidRDefault="00806A51" w:rsidP="00806A51">
      <w:pPr>
        <w:ind w:firstLine="709"/>
        <w:contextualSpacing/>
        <w:jc w:val="both"/>
      </w:pPr>
      <w:r>
        <w:t>Согласно федеральному законодательству установление размера ставок платы за негативное воздействие на 2020 год предусматривается на уровне 2018 года с учетом их индексации: вводится дополнительный коэффициент 1,08.</w:t>
      </w:r>
    </w:p>
    <w:p w:rsidR="00806A51" w:rsidRDefault="00806A51" w:rsidP="00806A51">
      <w:pPr>
        <w:ind w:firstLine="709"/>
        <w:contextualSpacing/>
        <w:jc w:val="both"/>
      </w:pPr>
      <w:r>
        <w:t xml:space="preserve">С 01.01.2020 года </w:t>
      </w:r>
      <w:r w:rsidR="009416D7">
        <w:t>в районе</w:t>
      </w:r>
      <w:r>
        <w:t xml:space="preserve"> будет осуществлен переход на налогообложение имущества физических лиц от кадастровой стоимости, срок установлен Законом Алтайского края от 13.12.2018 № 97-ЗС. Поступления данного налога произойдут в 2021 году (за налоговый период 2020 год).</w:t>
      </w:r>
    </w:p>
    <w:p w:rsidR="00806A51" w:rsidRDefault="00806A51" w:rsidP="00806A51">
      <w:pPr>
        <w:ind w:firstLine="709"/>
        <w:contextualSpacing/>
        <w:jc w:val="both"/>
      </w:pPr>
    </w:p>
    <w:p w:rsidR="00806A51" w:rsidRPr="009416D7" w:rsidRDefault="00806A51" w:rsidP="00806A51">
      <w:pPr>
        <w:ind w:firstLine="709"/>
        <w:contextualSpacing/>
        <w:jc w:val="both"/>
        <w:rPr>
          <w:b/>
        </w:rPr>
      </w:pPr>
      <w:r w:rsidRPr="009416D7">
        <w:rPr>
          <w:b/>
        </w:rPr>
        <w:t xml:space="preserve">Основные направления бюджетной политики </w:t>
      </w:r>
      <w:r w:rsidR="009416D7" w:rsidRPr="009416D7">
        <w:rPr>
          <w:b/>
        </w:rPr>
        <w:t>района</w:t>
      </w:r>
      <w:r w:rsidRPr="009416D7">
        <w:rPr>
          <w:b/>
        </w:rPr>
        <w:t xml:space="preserve"> на 2020 год </w:t>
      </w:r>
    </w:p>
    <w:p w:rsidR="009416D7" w:rsidRDefault="009416D7" w:rsidP="00806A51">
      <w:pPr>
        <w:ind w:firstLine="709"/>
        <w:contextualSpacing/>
        <w:jc w:val="both"/>
      </w:pPr>
    </w:p>
    <w:p w:rsidR="00806A51" w:rsidRDefault="00806A51" w:rsidP="00806A51">
      <w:pPr>
        <w:ind w:firstLine="709"/>
        <w:contextualSpacing/>
        <w:jc w:val="both"/>
      </w:pPr>
      <w:r>
        <w:t xml:space="preserve">Бюджетная политика сформирована в соответствии с рекомендациями Министерства финансов </w:t>
      </w:r>
      <w:r w:rsidR="009416D7">
        <w:t xml:space="preserve">Алтайского края </w:t>
      </w:r>
      <w:r>
        <w:t xml:space="preserve">и направлена </w:t>
      </w:r>
      <w:proofErr w:type="gramStart"/>
      <w:r>
        <w:t>на</w:t>
      </w:r>
      <w:proofErr w:type="gramEnd"/>
      <w:r>
        <w:t xml:space="preserve">: </w:t>
      </w:r>
    </w:p>
    <w:p w:rsidR="00806A51" w:rsidRDefault="00806A51" w:rsidP="00806A51">
      <w:pPr>
        <w:ind w:firstLine="709"/>
        <w:contextualSpacing/>
        <w:jc w:val="both"/>
      </w:pPr>
      <w:r>
        <w:t>сохранение достигнутых значений соотношения оплаты труда со среднемесячным доходом от трудовой деятельности с поэтапным достижением задач, обозначенных в Указах Президента Российской Федерации;</w:t>
      </w:r>
    </w:p>
    <w:p w:rsidR="00806A51" w:rsidRDefault="00806A51" w:rsidP="00806A51">
      <w:pPr>
        <w:ind w:firstLine="709"/>
        <w:contextualSpacing/>
        <w:jc w:val="both"/>
      </w:pPr>
      <w:r>
        <w:t xml:space="preserve">сохранение и безусловное выполнение всех социальных обязательств перед жителями </w:t>
      </w:r>
      <w:r w:rsidR="009416D7">
        <w:t>района</w:t>
      </w:r>
      <w:r>
        <w:t>;</w:t>
      </w:r>
    </w:p>
    <w:p w:rsidR="00806A51" w:rsidRDefault="00806A51" w:rsidP="00806A51">
      <w:pPr>
        <w:ind w:firstLine="709"/>
        <w:contextualSpacing/>
        <w:jc w:val="both"/>
      </w:pPr>
      <w:r>
        <w:t xml:space="preserve">обеспечение реализации планируемых мероприятий, разработанных в рамках программы социально-экономического развития </w:t>
      </w:r>
      <w:r w:rsidR="009416D7">
        <w:t>района</w:t>
      </w:r>
      <w:r>
        <w:t xml:space="preserve">.  </w:t>
      </w:r>
    </w:p>
    <w:p w:rsidR="00806A51" w:rsidRDefault="00806A51" w:rsidP="00806A51">
      <w:pPr>
        <w:ind w:firstLine="709"/>
        <w:contextualSpacing/>
        <w:jc w:val="both"/>
      </w:pPr>
      <w:r>
        <w:t xml:space="preserve">На период </w:t>
      </w:r>
      <w:r w:rsidR="009416D7">
        <w:t xml:space="preserve">2020 года </w:t>
      </w:r>
      <w:r>
        <w:t xml:space="preserve">сохраняется важнейшее условие бюджетной сбалансированности – соответствие бюджетных расходов реально прогнозируемым поступлениям, повышение эффективности использования бюджетных средств, внедрение в организацию бюджетного процесса  перспективных мер и подходов для достижения целевых показателей, предусмотренных для </w:t>
      </w:r>
      <w:r w:rsidR="009416D7">
        <w:t>района.</w:t>
      </w:r>
    </w:p>
    <w:p w:rsidR="00806A51" w:rsidRDefault="00806A51" w:rsidP="00806A51">
      <w:pPr>
        <w:ind w:firstLine="709"/>
        <w:contextualSpacing/>
        <w:jc w:val="both"/>
      </w:pPr>
      <w:r>
        <w:t>В части формирования и исполнения бюджета</w:t>
      </w:r>
      <w:r w:rsidR="00F9649E">
        <w:t>:</w:t>
      </w:r>
    </w:p>
    <w:p w:rsidR="00F9649E" w:rsidRDefault="00806A51" w:rsidP="00806A51">
      <w:pPr>
        <w:ind w:firstLine="709"/>
        <w:contextualSpacing/>
        <w:jc w:val="both"/>
      </w:pPr>
      <w:r>
        <w:t xml:space="preserve">Предусмотренные бюджетные ассигнования </w:t>
      </w:r>
      <w:r w:rsidR="009416D7">
        <w:t>районного</w:t>
      </w:r>
      <w:r>
        <w:t xml:space="preserve"> бюджета на </w:t>
      </w:r>
      <w:r w:rsidR="009416D7">
        <w:t>2020 год</w:t>
      </w:r>
      <w:r>
        <w:t xml:space="preserve"> в приоритетном порядке сформированы на реализацию </w:t>
      </w:r>
      <w:r w:rsidR="009416D7">
        <w:t>муниципальных</w:t>
      </w:r>
      <w:r>
        <w:t xml:space="preserve"> проектов, участвующих в </w:t>
      </w:r>
      <w:r w:rsidR="009416D7">
        <w:t>региональных</w:t>
      </w:r>
      <w:r>
        <w:t xml:space="preserve"> проектах, что позволяет создать условия для качественного роста экономики </w:t>
      </w:r>
      <w:r w:rsidR="009416D7">
        <w:t>района</w:t>
      </w:r>
      <w:r>
        <w:t xml:space="preserve"> в целом, роста доходов граждан; развитие малого и среднего предпринимательства</w:t>
      </w:r>
      <w:r w:rsidR="00F9649E">
        <w:t>.</w:t>
      </w:r>
      <w:r>
        <w:t xml:space="preserve"> </w:t>
      </w:r>
    </w:p>
    <w:p w:rsidR="00806A51" w:rsidRDefault="00806A51" w:rsidP="00806A51">
      <w:pPr>
        <w:ind w:firstLine="709"/>
        <w:contextualSpacing/>
        <w:jc w:val="both"/>
      </w:pPr>
      <w:r>
        <w:t>На 2020</w:t>
      </w:r>
      <w:r w:rsidR="000D0CB6">
        <w:t xml:space="preserve"> </w:t>
      </w:r>
      <w:r>
        <w:t xml:space="preserve">год расходные обязательства по оплате труда определены исходя </w:t>
      </w:r>
      <w:proofErr w:type="gramStart"/>
      <w:r>
        <w:t>из</w:t>
      </w:r>
      <w:proofErr w:type="gramEnd"/>
      <w:r>
        <w:t>:</w:t>
      </w:r>
    </w:p>
    <w:p w:rsidR="000D0CB6" w:rsidRDefault="00806A51" w:rsidP="00806A51">
      <w:pPr>
        <w:ind w:firstLine="709"/>
        <w:contextualSpacing/>
        <w:jc w:val="both"/>
      </w:pPr>
      <w:r>
        <w:t xml:space="preserve">обеспечения сохранения целевых показателей, определенных Указами Президента Российской Федерации от 7 мая 2012 года № 597 «О мероприятиях по реализации государственной социальной политики» </w:t>
      </w:r>
    </w:p>
    <w:p w:rsidR="00806A51" w:rsidRDefault="00806A51" w:rsidP="00806A51">
      <w:pPr>
        <w:ind w:firstLine="709"/>
        <w:contextualSpacing/>
        <w:jc w:val="both"/>
      </w:pPr>
      <w:r>
        <w:t>увеличения расходов на оплату труда иных категорий работников на прогнозный уровень инфляции.</w:t>
      </w:r>
    </w:p>
    <w:p w:rsidR="00806A51" w:rsidRDefault="00806A51" w:rsidP="00806A51">
      <w:pPr>
        <w:ind w:firstLine="709"/>
        <w:contextualSpacing/>
        <w:jc w:val="both"/>
      </w:pPr>
      <w:r>
        <w:t>В соответствии с положениями Федерального закона от 28.12.2017</w:t>
      </w:r>
    </w:p>
    <w:p w:rsidR="00806A51" w:rsidRDefault="00806A51" w:rsidP="00806A51">
      <w:pPr>
        <w:ind w:firstLine="709"/>
        <w:contextualSpacing/>
        <w:jc w:val="both"/>
      </w:pPr>
      <w:r>
        <w:t xml:space="preserve">№ 421-ФЗ «О внесении изменений в отдельные законодательные акты Российской Федерации в части повышения минимального </w:t>
      </w:r>
      <w:proofErr w:type="gramStart"/>
      <w:r>
        <w:t>размера оплаты труда</w:t>
      </w:r>
      <w:proofErr w:type="gramEnd"/>
      <w:r>
        <w:t xml:space="preserve"> до прожиточного минимума трудоспособного населения» минимальный размер оплаты труда с 01.01.2020 составит 12130 рублей.</w:t>
      </w:r>
    </w:p>
    <w:p w:rsidR="00806A51" w:rsidRDefault="00806A51" w:rsidP="00806A51">
      <w:pPr>
        <w:ind w:firstLine="709"/>
        <w:contextualSpacing/>
        <w:jc w:val="both"/>
      </w:pPr>
      <w:proofErr w:type="gramStart"/>
      <w:r>
        <w:t xml:space="preserve">Согласно постановления Конституционного Суда Российской Федерации от 11 апреля 2019 года № 17-П оплата за труд в случае выполнения работы в условиях, отклоняющихся от </w:t>
      </w:r>
      <w:r>
        <w:lastRenderedPageBreak/>
        <w:t>нормальных, должна оплачиваться сверх установленного минимального размера оплаты труда.</w:t>
      </w:r>
      <w:proofErr w:type="gramEnd"/>
    </w:p>
    <w:p w:rsidR="00806A51" w:rsidRDefault="00806A51" w:rsidP="00806A51">
      <w:pPr>
        <w:ind w:firstLine="709"/>
        <w:contextualSpacing/>
        <w:jc w:val="both"/>
      </w:pPr>
      <w:r>
        <w:t xml:space="preserve">Важным аспектом при исполнении бюджета является обеспечение ритмичного финансирования расходных обязательств и своевременное освоение средств. </w:t>
      </w:r>
    </w:p>
    <w:p w:rsidR="00806A51" w:rsidRDefault="00806A51" w:rsidP="00806A51">
      <w:pPr>
        <w:ind w:firstLine="709"/>
        <w:contextualSpacing/>
        <w:jc w:val="both"/>
      </w:pPr>
      <w:r>
        <w:t>В рамках повышения операционной эффективности бюджетных расходов предполагается дальнейшее совершенствование процедур планирования и технологий исполнения бюджета, включая:</w:t>
      </w:r>
    </w:p>
    <w:p w:rsidR="00806A51" w:rsidRDefault="00806A51" w:rsidP="00806A51">
      <w:pPr>
        <w:ind w:firstLine="709"/>
        <w:contextualSpacing/>
        <w:jc w:val="both"/>
      </w:pPr>
      <w:r>
        <w:t>расширение практики обоснования бюджетных ассигнований для получателей бюджетных средств;</w:t>
      </w:r>
    </w:p>
    <w:p w:rsidR="00806A51" w:rsidRDefault="00806A51" w:rsidP="00806A51">
      <w:pPr>
        <w:ind w:firstLine="709"/>
        <w:contextualSpacing/>
        <w:jc w:val="both"/>
      </w:pPr>
      <w:r>
        <w:t>распространение инструмента казначейского сопровождения муниципальных контрактов, совершенствование нормативно-правовой базы, необходимой для осуществления операций с применением казначейского обеспечения обязательств, в том числе в сочетании с банковским сопровождением средств.</w:t>
      </w:r>
    </w:p>
    <w:p w:rsidR="00806A51" w:rsidRDefault="00806A51" w:rsidP="00806A51">
      <w:pPr>
        <w:ind w:firstLine="709"/>
        <w:contextualSpacing/>
        <w:jc w:val="both"/>
      </w:pPr>
      <w:r>
        <w:t>Продолжится работа по своевременному и в полном объеме исполнению расходных обязательств, недопущению принятия необеспеченных расходных обязательств, исключению необоснованного роста задолженности по платежам в бюджет и просроченной дебиторской и кредиторской задолженности, в том числе незавершенного строительства.</w:t>
      </w:r>
    </w:p>
    <w:p w:rsidR="000D0CB6" w:rsidRDefault="00806A51" w:rsidP="00806A51">
      <w:pPr>
        <w:ind w:firstLine="709"/>
        <w:contextualSpacing/>
        <w:jc w:val="both"/>
      </w:pPr>
      <w:r>
        <w:t xml:space="preserve">Мероприятия в части инвентаризации установленных расходных полномочий органов местного самоуправления </w:t>
      </w:r>
      <w:r w:rsidR="000D0CB6">
        <w:t>района</w:t>
      </w:r>
      <w:r>
        <w:t xml:space="preserve"> направлены на недопущение принятия новых расходных обязательств, не связанных с решением вопросов, отнесенных Конституцией Российской Федерации и федеральными законами к полномочиям органов государственной власти и органов местного самоуправления Алтайского края. </w:t>
      </w:r>
    </w:p>
    <w:p w:rsidR="00806A51" w:rsidRDefault="00806A51" w:rsidP="00806A51">
      <w:pPr>
        <w:ind w:firstLine="709"/>
        <w:contextualSpacing/>
        <w:jc w:val="both"/>
      </w:pPr>
      <w:r>
        <w:t>В части расходов малого и среднего предпринимательства</w:t>
      </w:r>
      <w:r w:rsidR="00F9649E">
        <w:t>:</w:t>
      </w:r>
    </w:p>
    <w:p w:rsidR="00806A51" w:rsidRDefault="00806A51" w:rsidP="00806A51">
      <w:pPr>
        <w:ind w:firstLine="709"/>
        <w:contextualSpacing/>
        <w:jc w:val="both"/>
      </w:pPr>
      <w:r>
        <w:t xml:space="preserve">Создание благоприятных условий для устойчивого функционирования и развития малого и среднего предпринимательства на территории </w:t>
      </w:r>
      <w:r w:rsidR="000D0CB6">
        <w:t>района</w:t>
      </w:r>
      <w:r>
        <w:t xml:space="preserve"> будет продолжено в рамках действующей </w:t>
      </w:r>
      <w:r w:rsidR="000D0CB6">
        <w:t>муниципальной</w:t>
      </w:r>
      <w:r>
        <w:t xml:space="preserve"> программы «Развитие малого и среднего предпринимательства в </w:t>
      </w:r>
      <w:r w:rsidR="000D0CB6">
        <w:t>Табунском районе</w:t>
      </w:r>
      <w:r>
        <w:t xml:space="preserve">». </w:t>
      </w:r>
    </w:p>
    <w:p w:rsidR="00806A51" w:rsidRDefault="00806A51" w:rsidP="00806A51">
      <w:pPr>
        <w:ind w:firstLine="709"/>
        <w:contextualSpacing/>
        <w:jc w:val="both"/>
      </w:pPr>
      <w:r>
        <w:t>В части расходов в сфере жилищно-коммунального хозяйства и дорожного фонда</w:t>
      </w:r>
      <w:r w:rsidR="00F9649E">
        <w:t>:</w:t>
      </w:r>
    </w:p>
    <w:p w:rsidR="00806A51" w:rsidRDefault="00806A51" w:rsidP="00806A51">
      <w:pPr>
        <w:ind w:firstLine="709"/>
        <w:contextualSpacing/>
        <w:jc w:val="both"/>
      </w:pPr>
      <w:r>
        <w:t xml:space="preserve">В </w:t>
      </w:r>
      <w:r w:rsidR="000D0CB6">
        <w:t>2020 году</w:t>
      </w:r>
      <w:r>
        <w:t xml:space="preserve"> продолжится </w:t>
      </w:r>
      <w:r w:rsidR="000D0CB6">
        <w:t>работа</w:t>
      </w:r>
      <w:r>
        <w:t xml:space="preserve"> по обеспечению расчетов за топливно-энергетические ресурсы, потребляемые муниципальными учреждениями, ремонту объектов теплоснабжения </w:t>
      </w:r>
      <w:r w:rsidR="000D0CB6">
        <w:t>района</w:t>
      </w:r>
      <w:r>
        <w:t xml:space="preserve">, направленных на повышение энергетической эффективности, надежности теплоснабжения и снижения себестоимости тепловой энергии, а также мероприятий, направленных на обеспечение стабильного водоснабжения населения </w:t>
      </w:r>
      <w:r w:rsidR="000D0CB6">
        <w:t>района</w:t>
      </w:r>
      <w:r>
        <w:t>.</w:t>
      </w:r>
    </w:p>
    <w:p w:rsidR="00806A51" w:rsidRDefault="00806A51" w:rsidP="00806A51">
      <w:pPr>
        <w:ind w:firstLine="709"/>
        <w:contextualSpacing/>
        <w:jc w:val="both"/>
      </w:pPr>
      <w:r>
        <w:t xml:space="preserve">Расходы </w:t>
      </w:r>
      <w:r w:rsidR="000D0CB6">
        <w:t>на дороги</w:t>
      </w:r>
      <w:r>
        <w:t>, как и в предыдущие годы, будут осуществляться за счет средств муниципальн</w:t>
      </w:r>
      <w:r w:rsidR="000D0CB6">
        <w:t>ого</w:t>
      </w:r>
      <w:r>
        <w:t xml:space="preserve"> дорожн</w:t>
      </w:r>
      <w:r w:rsidR="000D0CB6">
        <w:t>ого</w:t>
      </w:r>
      <w:r>
        <w:t xml:space="preserve"> фонд</w:t>
      </w:r>
      <w:r w:rsidR="000D0CB6">
        <w:t>а</w:t>
      </w:r>
      <w:r>
        <w:t xml:space="preserve">. </w:t>
      </w:r>
    </w:p>
    <w:p w:rsidR="00806A51" w:rsidRDefault="00806A51" w:rsidP="00806A51">
      <w:pPr>
        <w:ind w:firstLine="709"/>
        <w:contextualSpacing/>
        <w:jc w:val="both"/>
      </w:pPr>
      <w:r>
        <w:t>В части межбюджетных отношений</w:t>
      </w:r>
      <w:r w:rsidR="00F9649E">
        <w:t>:</w:t>
      </w:r>
    </w:p>
    <w:p w:rsidR="00806A51" w:rsidRDefault="00806A51" w:rsidP="00806A51">
      <w:pPr>
        <w:ind w:firstLine="709"/>
        <w:contextualSpacing/>
        <w:jc w:val="both"/>
      </w:pPr>
      <w:r>
        <w:t>При формировании межбюджетных отношений на 2020</w:t>
      </w:r>
      <w:r w:rsidR="000D0CB6">
        <w:t xml:space="preserve"> год</w:t>
      </w:r>
      <w:r>
        <w:t xml:space="preserve"> учтены изменения, внесенные в Бюджетный кодекс Российской Федерации Федеральным законом от 02.08.2019 № 307-ФЗ, направленные на совершенствование предоставления межбюджетных трансфертов, уточнения правил и условий их предоставления</w:t>
      </w:r>
      <w:r w:rsidR="00F9649E">
        <w:t>.</w:t>
      </w:r>
    </w:p>
    <w:p w:rsidR="00806A51" w:rsidRDefault="00806A51" w:rsidP="00806A51">
      <w:pPr>
        <w:ind w:firstLine="709"/>
        <w:contextualSpacing/>
        <w:jc w:val="both"/>
      </w:pPr>
      <w:r>
        <w:t>Основными мероприятиями в сфере межбюджетных отношений являются:</w:t>
      </w:r>
    </w:p>
    <w:p w:rsidR="00806A51" w:rsidRDefault="00806A51" w:rsidP="00806A51">
      <w:pPr>
        <w:ind w:firstLine="709"/>
        <w:contextualSpacing/>
        <w:jc w:val="both"/>
      </w:pPr>
      <w:r>
        <w:t xml:space="preserve">выравнивание бюджетной обеспеченности </w:t>
      </w:r>
      <w:r w:rsidR="007F018D">
        <w:t>поселений</w:t>
      </w:r>
      <w:r>
        <w:t>;</w:t>
      </w:r>
    </w:p>
    <w:p w:rsidR="00806A51" w:rsidRDefault="00806A51" w:rsidP="00806A51">
      <w:pPr>
        <w:ind w:firstLine="709"/>
        <w:contextualSpacing/>
        <w:jc w:val="both"/>
      </w:pPr>
      <w:proofErr w:type="spellStart"/>
      <w:r>
        <w:t>софинансирование</w:t>
      </w:r>
      <w:proofErr w:type="spellEnd"/>
      <w:r>
        <w:t xml:space="preserve"> расходных обязательств </w:t>
      </w:r>
      <w:r w:rsidR="007F018D">
        <w:t>поселений</w:t>
      </w:r>
      <w:r>
        <w:t>.</w:t>
      </w:r>
    </w:p>
    <w:p w:rsidR="00806A51" w:rsidRDefault="00806A51" w:rsidP="007F018D">
      <w:pPr>
        <w:ind w:firstLine="709"/>
        <w:contextualSpacing/>
        <w:jc w:val="both"/>
      </w:pPr>
      <w:r>
        <w:t xml:space="preserve">Выравнивание бюджетной обеспеченности </w:t>
      </w:r>
      <w:r w:rsidR="007F018D">
        <w:t>поселений</w:t>
      </w:r>
      <w:r>
        <w:t xml:space="preserve"> по-прежнему выполняет важную роль при  формировании бюджетов</w:t>
      </w:r>
      <w:r w:rsidR="007F018D">
        <w:t xml:space="preserve"> поселений</w:t>
      </w:r>
      <w:r>
        <w:t xml:space="preserve">. Применение этого инструмента межбюджетного регулирования позволяет ежегодно снижать разрыв в уровне           бюджетной обеспеченности </w:t>
      </w:r>
      <w:r w:rsidR="007F018D">
        <w:t>поселений.</w:t>
      </w:r>
    </w:p>
    <w:sectPr w:rsidR="00806A51" w:rsidSect="00020226">
      <w:headerReference w:type="even" r:id="rId9"/>
      <w:headerReference w:type="default" r:id="rId10"/>
      <w:pgSz w:w="11906" w:h="16838"/>
      <w:pgMar w:top="899" w:right="850" w:bottom="851" w:left="126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901" w:rsidRDefault="00627901">
      <w:r>
        <w:separator/>
      </w:r>
    </w:p>
  </w:endnote>
  <w:endnote w:type="continuationSeparator" w:id="0">
    <w:p w:rsidR="00627901" w:rsidRDefault="00627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901" w:rsidRDefault="00627901">
      <w:r>
        <w:separator/>
      </w:r>
    </w:p>
  </w:footnote>
  <w:footnote w:type="continuationSeparator" w:id="0">
    <w:p w:rsidR="00627901" w:rsidRDefault="00627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3D" w:rsidRDefault="0050373D" w:rsidP="002D53E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0373D" w:rsidRDefault="0050373D" w:rsidP="00DD168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3D" w:rsidRDefault="0050373D" w:rsidP="002D53E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45D6C">
      <w:rPr>
        <w:rStyle w:val="a5"/>
        <w:noProof/>
      </w:rPr>
      <w:t>2</w:t>
    </w:r>
    <w:r>
      <w:rPr>
        <w:rStyle w:val="a5"/>
      </w:rPr>
      <w:fldChar w:fldCharType="end"/>
    </w:r>
  </w:p>
  <w:p w:rsidR="0050373D" w:rsidRDefault="0050373D" w:rsidP="00DD168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103D1"/>
    <w:multiLevelType w:val="hybridMultilevel"/>
    <w:tmpl w:val="310AC96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081BBF"/>
    <w:multiLevelType w:val="hybridMultilevel"/>
    <w:tmpl w:val="E42E5596"/>
    <w:lvl w:ilvl="0" w:tplc="D584C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F10BBC"/>
    <w:multiLevelType w:val="hybridMultilevel"/>
    <w:tmpl w:val="7100A0EE"/>
    <w:lvl w:ilvl="0" w:tplc="8DFED0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66"/>
    <w:rsid w:val="0000585E"/>
    <w:rsid w:val="00012303"/>
    <w:rsid w:val="00014EAA"/>
    <w:rsid w:val="00020226"/>
    <w:rsid w:val="000210B9"/>
    <w:rsid w:val="00022C63"/>
    <w:rsid w:val="00024913"/>
    <w:rsid w:val="00032EEA"/>
    <w:rsid w:val="00035813"/>
    <w:rsid w:val="00047763"/>
    <w:rsid w:val="00063F22"/>
    <w:rsid w:val="000678AA"/>
    <w:rsid w:val="000720A2"/>
    <w:rsid w:val="000829C5"/>
    <w:rsid w:val="00084024"/>
    <w:rsid w:val="00096F4D"/>
    <w:rsid w:val="000A1C09"/>
    <w:rsid w:val="000A23C2"/>
    <w:rsid w:val="000A29D2"/>
    <w:rsid w:val="000A4BCF"/>
    <w:rsid w:val="000A7F46"/>
    <w:rsid w:val="000C2873"/>
    <w:rsid w:val="000C69A4"/>
    <w:rsid w:val="000D0CB6"/>
    <w:rsid w:val="000D2447"/>
    <w:rsid w:val="000D3A7C"/>
    <w:rsid w:val="00113901"/>
    <w:rsid w:val="00116545"/>
    <w:rsid w:val="0011660A"/>
    <w:rsid w:val="00116EF3"/>
    <w:rsid w:val="00126EC3"/>
    <w:rsid w:val="00130163"/>
    <w:rsid w:val="00130D4C"/>
    <w:rsid w:val="00131A63"/>
    <w:rsid w:val="00134DFD"/>
    <w:rsid w:val="001409B4"/>
    <w:rsid w:val="00140D2B"/>
    <w:rsid w:val="00142732"/>
    <w:rsid w:val="00156637"/>
    <w:rsid w:val="00164F62"/>
    <w:rsid w:val="00166301"/>
    <w:rsid w:val="0018138B"/>
    <w:rsid w:val="00183062"/>
    <w:rsid w:val="00183B2A"/>
    <w:rsid w:val="001842EB"/>
    <w:rsid w:val="00191734"/>
    <w:rsid w:val="001972F2"/>
    <w:rsid w:val="001A62DD"/>
    <w:rsid w:val="001A7BE9"/>
    <w:rsid w:val="001B1AAC"/>
    <w:rsid w:val="001B2EBA"/>
    <w:rsid w:val="001C005F"/>
    <w:rsid w:val="001C4FB1"/>
    <w:rsid w:val="001C5230"/>
    <w:rsid w:val="001C5C0D"/>
    <w:rsid w:val="001D0FB1"/>
    <w:rsid w:val="001D2E78"/>
    <w:rsid w:val="001D490B"/>
    <w:rsid w:val="001E234F"/>
    <w:rsid w:val="001E73D9"/>
    <w:rsid w:val="001F3D49"/>
    <w:rsid w:val="001F6864"/>
    <w:rsid w:val="001F7C05"/>
    <w:rsid w:val="0020636D"/>
    <w:rsid w:val="00206613"/>
    <w:rsid w:val="0022271C"/>
    <w:rsid w:val="00226307"/>
    <w:rsid w:val="0023329A"/>
    <w:rsid w:val="00233781"/>
    <w:rsid w:val="00233D3D"/>
    <w:rsid w:val="002364D7"/>
    <w:rsid w:val="0023771D"/>
    <w:rsid w:val="00242E08"/>
    <w:rsid w:val="00242EE8"/>
    <w:rsid w:val="00254897"/>
    <w:rsid w:val="002626EB"/>
    <w:rsid w:val="002631A6"/>
    <w:rsid w:val="00277B46"/>
    <w:rsid w:val="00283ECB"/>
    <w:rsid w:val="00284A88"/>
    <w:rsid w:val="00286420"/>
    <w:rsid w:val="002958D7"/>
    <w:rsid w:val="002A07B6"/>
    <w:rsid w:val="002A1932"/>
    <w:rsid w:val="002A5423"/>
    <w:rsid w:val="002C2211"/>
    <w:rsid w:val="002C2E09"/>
    <w:rsid w:val="002C4273"/>
    <w:rsid w:val="002D49A2"/>
    <w:rsid w:val="002D53E3"/>
    <w:rsid w:val="002D6808"/>
    <w:rsid w:val="002D692B"/>
    <w:rsid w:val="002D6ADC"/>
    <w:rsid w:val="002F37B4"/>
    <w:rsid w:val="002F41E0"/>
    <w:rsid w:val="002F453F"/>
    <w:rsid w:val="00302341"/>
    <w:rsid w:val="0030395C"/>
    <w:rsid w:val="00310DCD"/>
    <w:rsid w:val="003118F8"/>
    <w:rsid w:val="0031363A"/>
    <w:rsid w:val="00313C95"/>
    <w:rsid w:val="003172FB"/>
    <w:rsid w:val="00325B32"/>
    <w:rsid w:val="00326B09"/>
    <w:rsid w:val="0033271B"/>
    <w:rsid w:val="00343A71"/>
    <w:rsid w:val="00350F80"/>
    <w:rsid w:val="00357E28"/>
    <w:rsid w:val="00360275"/>
    <w:rsid w:val="00361527"/>
    <w:rsid w:val="00361745"/>
    <w:rsid w:val="003618AB"/>
    <w:rsid w:val="00362E84"/>
    <w:rsid w:val="00364A61"/>
    <w:rsid w:val="0036515B"/>
    <w:rsid w:val="00367711"/>
    <w:rsid w:val="00367AF9"/>
    <w:rsid w:val="00375821"/>
    <w:rsid w:val="003866CB"/>
    <w:rsid w:val="00386DC3"/>
    <w:rsid w:val="0039124B"/>
    <w:rsid w:val="00392EDF"/>
    <w:rsid w:val="003A0B14"/>
    <w:rsid w:val="003A7F72"/>
    <w:rsid w:val="003B2F60"/>
    <w:rsid w:val="003B3C5F"/>
    <w:rsid w:val="003B5DDA"/>
    <w:rsid w:val="003C1D23"/>
    <w:rsid w:val="003C2ECA"/>
    <w:rsid w:val="003C5732"/>
    <w:rsid w:val="003C64DC"/>
    <w:rsid w:val="003D7321"/>
    <w:rsid w:val="003E371B"/>
    <w:rsid w:val="003E486D"/>
    <w:rsid w:val="003F0DE5"/>
    <w:rsid w:val="003F2C34"/>
    <w:rsid w:val="003F2D68"/>
    <w:rsid w:val="003F794F"/>
    <w:rsid w:val="0040077A"/>
    <w:rsid w:val="004027E9"/>
    <w:rsid w:val="00402D01"/>
    <w:rsid w:val="00402D1F"/>
    <w:rsid w:val="004043FA"/>
    <w:rsid w:val="004118EF"/>
    <w:rsid w:val="004129F9"/>
    <w:rsid w:val="00414990"/>
    <w:rsid w:val="0041574B"/>
    <w:rsid w:val="00423532"/>
    <w:rsid w:val="00424D4E"/>
    <w:rsid w:val="0042724D"/>
    <w:rsid w:val="0043687E"/>
    <w:rsid w:val="00437BE1"/>
    <w:rsid w:val="004435BB"/>
    <w:rsid w:val="00445A6D"/>
    <w:rsid w:val="004609DF"/>
    <w:rsid w:val="00462100"/>
    <w:rsid w:val="00463C9F"/>
    <w:rsid w:val="004755BC"/>
    <w:rsid w:val="00476FA4"/>
    <w:rsid w:val="00482FE9"/>
    <w:rsid w:val="00492483"/>
    <w:rsid w:val="0049704F"/>
    <w:rsid w:val="004A2CA6"/>
    <w:rsid w:val="004A3266"/>
    <w:rsid w:val="004A5A06"/>
    <w:rsid w:val="004A71CA"/>
    <w:rsid w:val="004B5DAC"/>
    <w:rsid w:val="004B6097"/>
    <w:rsid w:val="004C5854"/>
    <w:rsid w:val="004D6965"/>
    <w:rsid w:val="004D69D7"/>
    <w:rsid w:val="004F20BD"/>
    <w:rsid w:val="004F4E86"/>
    <w:rsid w:val="004F74A4"/>
    <w:rsid w:val="004F75D6"/>
    <w:rsid w:val="0050373D"/>
    <w:rsid w:val="00507761"/>
    <w:rsid w:val="00513570"/>
    <w:rsid w:val="00513791"/>
    <w:rsid w:val="00522BEB"/>
    <w:rsid w:val="00533974"/>
    <w:rsid w:val="00542034"/>
    <w:rsid w:val="005479D8"/>
    <w:rsid w:val="00554F9B"/>
    <w:rsid w:val="00557EC9"/>
    <w:rsid w:val="00563727"/>
    <w:rsid w:val="00564704"/>
    <w:rsid w:val="00571BA5"/>
    <w:rsid w:val="00573D90"/>
    <w:rsid w:val="005804BC"/>
    <w:rsid w:val="0058353B"/>
    <w:rsid w:val="00585F7B"/>
    <w:rsid w:val="005872DC"/>
    <w:rsid w:val="00591285"/>
    <w:rsid w:val="00593310"/>
    <w:rsid w:val="005A06A7"/>
    <w:rsid w:val="005A419A"/>
    <w:rsid w:val="005A702F"/>
    <w:rsid w:val="005A7DC6"/>
    <w:rsid w:val="005B182A"/>
    <w:rsid w:val="005B6B05"/>
    <w:rsid w:val="005C3316"/>
    <w:rsid w:val="005D436D"/>
    <w:rsid w:val="005D61B4"/>
    <w:rsid w:val="005D6A5B"/>
    <w:rsid w:val="005D6B83"/>
    <w:rsid w:val="005D6BA2"/>
    <w:rsid w:val="005E089D"/>
    <w:rsid w:val="005E13EF"/>
    <w:rsid w:val="005F04E0"/>
    <w:rsid w:val="005F3D3E"/>
    <w:rsid w:val="0060546A"/>
    <w:rsid w:val="00611C3B"/>
    <w:rsid w:val="006140D8"/>
    <w:rsid w:val="00614FFE"/>
    <w:rsid w:val="00617E78"/>
    <w:rsid w:val="00620865"/>
    <w:rsid w:val="0062160B"/>
    <w:rsid w:val="00627520"/>
    <w:rsid w:val="00627901"/>
    <w:rsid w:val="0063176D"/>
    <w:rsid w:val="00632E88"/>
    <w:rsid w:val="0063457B"/>
    <w:rsid w:val="006373B7"/>
    <w:rsid w:val="00643291"/>
    <w:rsid w:val="0064760E"/>
    <w:rsid w:val="00652E43"/>
    <w:rsid w:val="00660112"/>
    <w:rsid w:val="006644D2"/>
    <w:rsid w:val="00673345"/>
    <w:rsid w:val="00673CEE"/>
    <w:rsid w:val="006802FC"/>
    <w:rsid w:val="00692FE1"/>
    <w:rsid w:val="00693B5F"/>
    <w:rsid w:val="006A1D2A"/>
    <w:rsid w:val="006A42E5"/>
    <w:rsid w:val="006A67F5"/>
    <w:rsid w:val="006C4095"/>
    <w:rsid w:val="006C4DB7"/>
    <w:rsid w:val="006C63EA"/>
    <w:rsid w:val="006D04D2"/>
    <w:rsid w:val="006D0CDA"/>
    <w:rsid w:val="006D410E"/>
    <w:rsid w:val="006D760D"/>
    <w:rsid w:val="006E0C79"/>
    <w:rsid w:val="006E2FEA"/>
    <w:rsid w:val="006E444E"/>
    <w:rsid w:val="006E6D93"/>
    <w:rsid w:val="006F1D3F"/>
    <w:rsid w:val="006F2DCF"/>
    <w:rsid w:val="006F3749"/>
    <w:rsid w:val="00707937"/>
    <w:rsid w:val="0071161F"/>
    <w:rsid w:val="00712617"/>
    <w:rsid w:val="0072451D"/>
    <w:rsid w:val="00725BA6"/>
    <w:rsid w:val="00731428"/>
    <w:rsid w:val="00743DC0"/>
    <w:rsid w:val="007453AE"/>
    <w:rsid w:val="007453E1"/>
    <w:rsid w:val="00752688"/>
    <w:rsid w:val="00752D79"/>
    <w:rsid w:val="007609F9"/>
    <w:rsid w:val="00760A31"/>
    <w:rsid w:val="00763411"/>
    <w:rsid w:val="00763CA2"/>
    <w:rsid w:val="00770D59"/>
    <w:rsid w:val="00771DB8"/>
    <w:rsid w:val="0077736F"/>
    <w:rsid w:val="00780D17"/>
    <w:rsid w:val="00791F24"/>
    <w:rsid w:val="007954F0"/>
    <w:rsid w:val="00796789"/>
    <w:rsid w:val="0079746D"/>
    <w:rsid w:val="007A362A"/>
    <w:rsid w:val="007A5AE2"/>
    <w:rsid w:val="007B5A3F"/>
    <w:rsid w:val="007C03AA"/>
    <w:rsid w:val="007C3483"/>
    <w:rsid w:val="007C364A"/>
    <w:rsid w:val="007C542E"/>
    <w:rsid w:val="007D333B"/>
    <w:rsid w:val="007D5039"/>
    <w:rsid w:val="007F018D"/>
    <w:rsid w:val="007F2821"/>
    <w:rsid w:val="007F5791"/>
    <w:rsid w:val="007F64ED"/>
    <w:rsid w:val="007F70FB"/>
    <w:rsid w:val="00804BF0"/>
    <w:rsid w:val="00805359"/>
    <w:rsid w:val="00805BB4"/>
    <w:rsid w:val="008064A3"/>
    <w:rsid w:val="00806A51"/>
    <w:rsid w:val="008118CA"/>
    <w:rsid w:val="0081371B"/>
    <w:rsid w:val="00816F28"/>
    <w:rsid w:val="00820A22"/>
    <w:rsid w:val="008232C6"/>
    <w:rsid w:val="00823B47"/>
    <w:rsid w:val="00842FD1"/>
    <w:rsid w:val="008439AF"/>
    <w:rsid w:val="008469DD"/>
    <w:rsid w:val="0085123F"/>
    <w:rsid w:val="00853FC0"/>
    <w:rsid w:val="0085589C"/>
    <w:rsid w:val="00856442"/>
    <w:rsid w:val="008615DD"/>
    <w:rsid w:val="00862433"/>
    <w:rsid w:val="00863AE7"/>
    <w:rsid w:val="00871737"/>
    <w:rsid w:val="00871DBD"/>
    <w:rsid w:val="00872909"/>
    <w:rsid w:val="008863AD"/>
    <w:rsid w:val="008900CF"/>
    <w:rsid w:val="008915F2"/>
    <w:rsid w:val="008A1291"/>
    <w:rsid w:val="008A1B7E"/>
    <w:rsid w:val="008A31B6"/>
    <w:rsid w:val="008A4E8A"/>
    <w:rsid w:val="008A6197"/>
    <w:rsid w:val="008B3686"/>
    <w:rsid w:val="008B43A1"/>
    <w:rsid w:val="008B488C"/>
    <w:rsid w:val="008C523A"/>
    <w:rsid w:val="008C63A6"/>
    <w:rsid w:val="008C7729"/>
    <w:rsid w:val="008D314E"/>
    <w:rsid w:val="008D59E1"/>
    <w:rsid w:val="00911D06"/>
    <w:rsid w:val="00913547"/>
    <w:rsid w:val="00924411"/>
    <w:rsid w:val="009246CA"/>
    <w:rsid w:val="009304DE"/>
    <w:rsid w:val="00931148"/>
    <w:rsid w:val="009416D7"/>
    <w:rsid w:val="00952398"/>
    <w:rsid w:val="00955295"/>
    <w:rsid w:val="00964811"/>
    <w:rsid w:val="009710FE"/>
    <w:rsid w:val="00973C16"/>
    <w:rsid w:val="00977467"/>
    <w:rsid w:val="00981C20"/>
    <w:rsid w:val="00984802"/>
    <w:rsid w:val="00991569"/>
    <w:rsid w:val="009923EE"/>
    <w:rsid w:val="00995756"/>
    <w:rsid w:val="009A4FCC"/>
    <w:rsid w:val="009A763E"/>
    <w:rsid w:val="009B2971"/>
    <w:rsid w:val="009C11AD"/>
    <w:rsid w:val="009C3660"/>
    <w:rsid w:val="009C4734"/>
    <w:rsid w:val="009C4B27"/>
    <w:rsid w:val="009C7AFB"/>
    <w:rsid w:val="009D16F9"/>
    <w:rsid w:val="009D7AB6"/>
    <w:rsid w:val="009E171D"/>
    <w:rsid w:val="009E5859"/>
    <w:rsid w:val="009F3AC5"/>
    <w:rsid w:val="009F45C5"/>
    <w:rsid w:val="009F7280"/>
    <w:rsid w:val="00A2699C"/>
    <w:rsid w:val="00A33591"/>
    <w:rsid w:val="00A3748F"/>
    <w:rsid w:val="00A47374"/>
    <w:rsid w:val="00A50E9E"/>
    <w:rsid w:val="00A51CC8"/>
    <w:rsid w:val="00A53470"/>
    <w:rsid w:val="00A61308"/>
    <w:rsid w:val="00A752CC"/>
    <w:rsid w:val="00A779C4"/>
    <w:rsid w:val="00A80577"/>
    <w:rsid w:val="00A82C7F"/>
    <w:rsid w:val="00A83E82"/>
    <w:rsid w:val="00A8737F"/>
    <w:rsid w:val="00AA0439"/>
    <w:rsid w:val="00AA192F"/>
    <w:rsid w:val="00AA772F"/>
    <w:rsid w:val="00AB61C0"/>
    <w:rsid w:val="00AB6449"/>
    <w:rsid w:val="00AB6900"/>
    <w:rsid w:val="00AB73FF"/>
    <w:rsid w:val="00AC1D10"/>
    <w:rsid w:val="00AC6412"/>
    <w:rsid w:val="00AD5329"/>
    <w:rsid w:val="00AE440D"/>
    <w:rsid w:val="00AE4C9C"/>
    <w:rsid w:val="00B01253"/>
    <w:rsid w:val="00B13677"/>
    <w:rsid w:val="00B16556"/>
    <w:rsid w:val="00B21173"/>
    <w:rsid w:val="00B21860"/>
    <w:rsid w:val="00B21C5A"/>
    <w:rsid w:val="00B31014"/>
    <w:rsid w:val="00B33501"/>
    <w:rsid w:val="00B33E1B"/>
    <w:rsid w:val="00B3598E"/>
    <w:rsid w:val="00B45DFF"/>
    <w:rsid w:val="00B47EAD"/>
    <w:rsid w:val="00B52D75"/>
    <w:rsid w:val="00B5436B"/>
    <w:rsid w:val="00B604D0"/>
    <w:rsid w:val="00B62C73"/>
    <w:rsid w:val="00B6523E"/>
    <w:rsid w:val="00B65B50"/>
    <w:rsid w:val="00B6664C"/>
    <w:rsid w:val="00B811E4"/>
    <w:rsid w:val="00B87475"/>
    <w:rsid w:val="00B90005"/>
    <w:rsid w:val="00B9507F"/>
    <w:rsid w:val="00BB05F0"/>
    <w:rsid w:val="00BB535E"/>
    <w:rsid w:val="00BB574C"/>
    <w:rsid w:val="00BC2B17"/>
    <w:rsid w:val="00BC4330"/>
    <w:rsid w:val="00BC6AD9"/>
    <w:rsid w:val="00BD07B2"/>
    <w:rsid w:val="00BE31E5"/>
    <w:rsid w:val="00BF4D80"/>
    <w:rsid w:val="00BF56DC"/>
    <w:rsid w:val="00C00AC5"/>
    <w:rsid w:val="00C02111"/>
    <w:rsid w:val="00C02B46"/>
    <w:rsid w:val="00C162E7"/>
    <w:rsid w:val="00C25059"/>
    <w:rsid w:val="00C260CD"/>
    <w:rsid w:val="00C26891"/>
    <w:rsid w:val="00C30DA8"/>
    <w:rsid w:val="00C34E02"/>
    <w:rsid w:val="00C3586F"/>
    <w:rsid w:val="00C54CFC"/>
    <w:rsid w:val="00C630F1"/>
    <w:rsid w:val="00C7361D"/>
    <w:rsid w:val="00C77DE6"/>
    <w:rsid w:val="00C812A0"/>
    <w:rsid w:val="00C84194"/>
    <w:rsid w:val="00C90284"/>
    <w:rsid w:val="00C94D6B"/>
    <w:rsid w:val="00C95009"/>
    <w:rsid w:val="00CA0086"/>
    <w:rsid w:val="00CA06D3"/>
    <w:rsid w:val="00CB01E5"/>
    <w:rsid w:val="00CB332E"/>
    <w:rsid w:val="00CB44F6"/>
    <w:rsid w:val="00CB460D"/>
    <w:rsid w:val="00CB46A8"/>
    <w:rsid w:val="00CB57F1"/>
    <w:rsid w:val="00CB7FDE"/>
    <w:rsid w:val="00CC0571"/>
    <w:rsid w:val="00CC09AB"/>
    <w:rsid w:val="00CC33F5"/>
    <w:rsid w:val="00CC4446"/>
    <w:rsid w:val="00CD5139"/>
    <w:rsid w:val="00CD5A93"/>
    <w:rsid w:val="00CE65FC"/>
    <w:rsid w:val="00CE6D01"/>
    <w:rsid w:val="00CF10FB"/>
    <w:rsid w:val="00CF3EB1"/>
    <w:rsid w:val="00CF5DE6"/>
    <w:rsid w:val="00D02D4A"/>
    <w:rsid w:val="00D07D58"/>
    <w:rsid w:val="00D1185E"/>
    <w:rsid w:val="00D3320F"/>
    <w:rsid w:val="00D419C3"/>
    <w:rsid w:val="00D601FE"/>
    <w:rsid w:val="00D60B51"/>
    <w:rsid w:val="00D73209"/>
    <w:rsid w:val="00D751EE"/>
    <w:rsid w:val="00D75364"/>
    <w:rsid w:val="00D774E9"/>
    <w:rsid w:val="00D857BB"/>
    <w:rsid w:val="00D9175F"/>
    <w:rsid w:val="00D91DA7"/>
    <w:rsid w:val="00D940D8"/>
    <w:rsid w:val="00DA0FE4"/>
    <w:rsid w:val="00DA5DC2"/>
    <w:rsid w:val="00DB2B1E"/>
    <w:rsid w:val="00DB46C7"/>
    <w:rsid w:val="00DB5152"/>
    <w:rsid w:val="00DB7966"/>
    <w:rsid w:val="00DD1682"/>
    <w:rsid w:val="00DD5D02"/>
    <w:rsid w:val="00DE1180"/>
    <w:rsid w:val="00DF2006"/>
    <w:rsid w:val="00DF6DE1"/>
    <w:rsid w:val="00E06789"/>
    <w:rsid w:val="00E277A6"/>
    <w:rsid w:val="00E27FBE"/>
    <w:rsid w:val="00E367F0"/>
    <w:rsid w:val="00E3707E"/>
    <w:rsid w:val="00E371B7"/>
    <w:rsid w:val="00E4020B"/>
    <w:rsid w:val="00E45D6C"/>
    <w:rsid w:val="00E55442"/>
    <w:rsid w:val="00E67918"/>
    <w:rsid w:val="00E72685"/>
    <w:rsid w:val="00E7274E"/>
    <w:rsid w:val="00E75420"/>
    <w:rsid w:val="00E81C15"/>
    <w:rsid w:val="00E86D57"/>
    <w:rsid w:val="00E91FD9"/>
    <w:rsid w:val="00E978FA"/>
    <w:rsid w:val="00EA496C"/>
    <w:rsid w:val="00EC60B9"/>
    <w:rsid w:val="00EC7793"/>
    <w:rsid w:val="00ED5F0C"/>
    <w:rsid w:val="00EE0C77"/>
    <w:rsid w:val="00EE1011"/>
    <w:rsid w:val="00EE376F"/>
    <w:rsid w:val="00EF00D9"/>
    <w:rsid w:val="00EF64CB"/>
    <w:rsid w:val="00F109ED"/>
    <w:rsid w:val="00F11A11"/>
    <w:rsid w:val="00F13399"/>
    <w:rsid w:val="00F13BBE"/>
    <w:rsid w:val="00F143D4"/>
    <w:rsid w:val="00F17167"/>
    <w:rsid w:val="00F22D34"/>
    <w:rsid w:val="00F23A50"/>
    <w:rsid w:val="00F317AB"/>
    <w:rsid w:val="00F40C24"/>
    <w:rsid w:val="00F46C39"/>
    <w:rsid w:val="00F46CAA"/>
    <w:rsid w:val="00F5077D"/>
    <w:rsid w:val="00F51260"/>
    <w:rsid w:val="00F608F8"/>
    <w:rsid w:val="00F60B8C"/>
    <w:rsid w:val="00F664F0"/>
    <w:rsid w:val="00F670BC"/>
    <w:rsid w:val="00F75EB3"/>
    <w:rsid w:val="00F76E4F"/>
    <w:rsid w:val="00F82047"/>
    <w:rsid w:val="00F82BA9"/>
    <w:rsid w:val="00F860D8"/>
    <w:rsid w:val="00F87B6E"/>
    <w:rsid w:val="00F9179A"/>
    <w:rsid w:val="00F94150"/>
    <w:rsid w:val="00F954D5"/>
    <w:rsid w:val="00F95716"/>
    <w:rsid w:val="00F958E9"/>
    <w:rsid w:val="00F9649E"/>
    <w:rsid w:val="00F97BB5"/>
    <w:rsid w:val="00FA5161"/>
    <w:rsid w:val="00FA5900"/>
    <w:rsid w:val="00FB1E80"/>
    <w:rsid w:val="00FB5B0E"/>
    <w:rsid w:val="00FB74F5"/>
    <w:rsid w:val="00FC4ACE"/>
    <w:rsid w:val="00FC756F"/>
    <w:rsid w:val="00FD19D0"/>
    <w:rsid w:val="00FF005C"/>
    <w:rsid w:val="00FF04C6"/>
    <w:rsid w:val="00FF6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32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644D2"/>
    <w:pPr>
      <w:ind w:left="360"/>
      <w:jc w:val="both"/>
    </w:pPr>
  </w:style>
  <w:style w:type="paragraph" w:styleId="a4">
    <w:name w:val="header"/>
    <w:basedOn w:val="a"/>
    <w:rsid w:val="00DD1682"/>
    <w:pPr>
      <w:tabs>
        <w:tab w:val="center" w:pos="4677"/>
        <w:tab w:val="right" w:pos="9355"/>
      </w:tabs>
    </w:pPr>
  </w:style>
  <w:style w:type="character" w:styleId="a5">
    <w:name w:val="page number"/>
    <w:basedOn w:val="a0"/>
    <w:rsid w:val="00DD1682"/>
  </w:style>
  <w:style w:type="paragraph" w:styleId="a6">
    <w:name w:val="Balloon Text"/>
    <w:basedOn w:val="a"/>
    <w:link w:val="a7"/>
    <w:rsid w:val="006373B7"/>
    <w:rPr>
      <w:rFonts w:ascii="Segoe UI" w:hAnsi="Segoe UI"/>
      <w:sz w:val="18"/>
      <w:szCs w:val="18"/>
      <w:lang w:val="x-none" w:eastAsia="x-none"/>
    </w:rPr>
  </w:style>
  <w:style w:type="character" w:customStyle="1" w:styleId="a7">
    <w:name w:val="Текст выноски Знак"/>
    <w:link w:val="a6"/>
    <w:rsid w:val="006373B7"/>
    <w:rPr>
      <w:rFonts w:ascii="Segoe UI" w:hAnsi="Segoe UI" w:cs="Segoe UI"/>
      <w:sz w:val="18"/>
      <w:szCs w:val="18"/>
    </w:rPr>
  </w:style>
  <w:style w:type="paragraph" w:styleId="a8">
    <w:name w:val="footer"/>
    <w:basedOn w:val="a"/>
    <w:link w:val="a9"/>
    <w:rsid w:val="00423532"/>
    <w:pPr>
      <w:tabs>
        <w:tab w:val="center" w:pos="4677"/>
        <w:tab w:val="right" w:pos="9355"/>
      </w:tabs>
    </w:pPr>
    <w:rPr>
      <w:lang w:val="x-none" w:eastAsia="x-none"/>
    </w:rPr>
  </w:style>
  <w:style w:type="character" w:customStyle="1" w:styleId="a9">
    <w:name w:val="Нижний колонтитул Знак"/>
    <w:link w:val="a8"/>
    <w:rsid w:val="00423532"/>
    <w:rPr>
      <w:sz w:val="24"/>
      <w:szCs w:val="24"/>
    </w:rPr>
  </w:style>
  <w:style w:type="paragraph" w:styleId="aa">
    <w:name w:val="Normal (Web)"/>
    <w:basedOn w:val="a"/>
    <w:uiPriority w:val="99"/>
    <w:unhideWhenUsed/>
    <w:rsid w:val="004027E9"/>
    <w:pPr>
      <w:spacing w:before="100" w:beforeAutospacing="1" w:after="100" w:afterAutospacing="1"/>
    </w:pPr>
  </w:style>
  <w:style w:type="paragraph" w:styleId="ab">
    <w:name w:val="No Spacing"/>
    <w:uiPriority w:val="1"/>
    <w:qFormat/>
    <w:rsid w:val="00142732"/>
    <w:pPr>
      <w:widowControl w:val="0"/>
    </w:pPr>
    <w:rPr>
      <w:rFonts w:ascii="Arial Unicode MS" w:eastAsia="Arial Unicode MS" w:hAnsi="Arial Unicode MS" w:cs="Arial Unicode MS"/>
      <w:color w:val="000000"/>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32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644D2"/>
    <w:pPr>
      <w:ind w:left="360"/>
      <w:jc w:val="both"/>
    </w:pPr>
  </w:style>
  <w:style w:type="paragraph" w:styleId="a4">
    <w:name w:val="header"/>
    <w:basedOn w:val="a"/>
    <w:rsid w:val="00DD1682"/>
    <w:pPr>
      <w:tabs>
        <w:tab w:val="center" w:pos="4677"/>
        <w:tab w:val="right" w:pos="9355"/>
      </w:tabs>
    </w:pPr>
  </w:style>
  <w:style w:type="character" w:styleId="a5">
    <w:name w:val="page number"/>
    <w:basedOn w:val="a0"/>
    <w:rsid w:val="00DD1682"/>
  </w:style>
  <w:style w:type="paragraph" w:styleId="a6">
    <w:name w:val="Balloon Text"/>
    <w:basedOn w:val="a"/>
    <w:link w:val="a7"/>
    <w:rsid w:val="006373B7"/>
    <w:rPr>
      <w:rFonts w:ascii="Segoe UI" w:hAnsi="Segoe UI"/>
      <w:sz w:val="18"/>
      <w:szCs w:val="18"/>
      <w:lang w:val="x-none" w:eastAsia="x-none"/>
    </w:rPr>
  </w:style>
  <w:style w:type="character" w:customStyle="1" w:styleId="a7">
    <w:name w:val="Текст выноски Знак"/>
    <w:link w:val="a6"/>
    <w:rsid w:val="006373B7"/>
    <w:rPr>
      <w:rFonts w:ascii="Segoe UI" w:hAnsi="Segoe UI" w:cs="Segoe UI"/>
      <w:sz w:val="18"/>
      <w:szCs w:val="18"/>
    </w:rPr>
  </w:style>
  <w:style w:type="paragraph" w:styleId="a8">
    <w:name w:val="footer"/>
    <w:basedOn w:val="a"/>
    <w:link w:val="a9"/>
    <w:rsid w:val="00423532"/>
    <w:pPr>
      <w:tabs>
        <w:tab w:val="center" w:pos="4677"/>
        <w:tab w:val="right" w:pos="9355"/>
      </w:tabs>
    </w:pPr>
    <w:rPr>
      <w:lang w:val="x-none" w:eastAsia="x-none"/>
    </w:rPr>
  </w:style>
  <w:style w:type="character" w:customStyle="1" w:styleId="a9">
    <w:name w:val="Нижний колонтитул Знак"/>
    <w:link w:val="a8"/>
    <w:rsid w:val="00423532"/>
    <w:rPr>
      <w:sz w:val="24"/>
      <w:szCs w:val="24"/>
    </w:rPr>
  </w:style>
  <w:style w:type="paragraph" w:styleId="aa">
    <w:name w:val="Normal (Web)"/>
    <w:basedOn w:val="a"/>
    <w:uiPriority w:val="99"/>
    <w:unhideWhenUsed/>
    <w:rsid w:val="004027E9"/>
    <w:pPr>
      <w:spacing w:before="100" w:beforeAutospacing="1" w:after="100" w:afterAutospacing="1"/>
    </w:pPr>
  </w:style>
  <w:style w:type="paragraph" w:styleId="ab">
    <w:name w:val="No Spacing"/>
    <w:uiPriority w:val="1"/>
    <w:qFormat/>
    <w:rsid w:val="00142732"/>
    <w:pPr>
      <w:widowControl w:val="0"/>
    </w:pPr>
    <w:rPr>
      <w:rFonts w:ascii="Arial Unicode MS" w:eastAsia="Arial Unicode MS" w:hAnsi="Arial Unicode MS" w:cs="Arial Unicode MS"/>
      <w:color w:val="00000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217432">
      <w:bodyDiv w:val="1"/>
      <w:marLeft w:val="0"/>
      <w:marRight w:val="0"/>
      <w:marTop w:val="0"/>
      <w:marBottom w:val="0"/>
      <w:divBdr>
        <w:top w:val="none" w:sz="0" w:space="0" w:color="auto"/>
        <w:left w:val="none" w:sz="0" w:space="0" w:color="auto"/>
        <w:bottom w:val="none" w:sz="0" w:space="0" w:color="auto"/>
        <w:right w:val="none" w:sz="0" w:space="0" w:color="auto"/>
      </w:divBdr>
    </w:div>
    <w:div w:id="211015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C97F6-D722-4801-8371-56C9648ED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2032</Words>
  <Characters>11588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fino</Company>
  <LinksUpToDate>false</LinksUpToDate>
  <CharactersWithSpaces>13593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2</dc:creator>
  <cp:lastModifiedBy>2</cp:lastModifiedBy>
  <cp:revision>2</cp:revision>
  <cp:lastPrinted>2019-11-14T09:14:00Z</cp:lastPrinted>
  <dcterms:created xsi:type="dcterms:W3CDTF">2019-12-23T04:54:00Z</dcterms:created>
  <dcterms:modified xsi:type="dcterms:W3CDTF">2019-12-23T04:54:00Z</dcterms:modified>
</cp:coreProperties>
</file>