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42" w:rsidRPr="004E6D42" w:rsidRDefault="004E6D42" w:rsidP="00385A4D">
      <w:pPr>
        <w:pStyle w:val="a4"/>
        <w:spacing w:line="480" w:lineRule="auto"/>
        <w:rPr>
          <w:rFonts w:ascii="Arial" w:hAnsi="Arial" w:cs="Arial"/>
          <w:b/>
          <w:caps/>
          <w:spacing w:val="20"/>
        </w:rPr>
      </w:pPr>
      <w:r w:rsidRPr="004E6D42">
        <w:rPr>
          <w:rFonts w:ascii="Arial" w:hAnsi="Arial" w:cs="Arial"/>
          <w:b/>
          <w:caps/>
          <w:spacing w:val="20"/>
        </w:rPr>
        <w:t>Российская федерация</w:t>
      </w:r>
    </w:p>
    <w:p w:rsidR="00C41474" w:rsidRDefault="00EE1F55" w:rsidP="00C41474">
      <w:pPr>
        <w:pStyle w:val="a4"/>
        <w:rPr>
          <w:b/>
          <w:caps/>
          <w:spacing w:val="20"/>
        </w:rPr>
      </w:pPr>
      <w:r>
        <w:rPr>
          <w:b/>
          <w:caps/>
          <w:spacing w:val="20"/>
        </w:rPr>
        <w:t xml:space="preserve">Табунский </w:t>
      </w:r>
      <w:r w:rsidR="00C41474">
        <w:rPr>
          <w:b/>
          <w:caps/>
          <w:spacing w:val="20"/>
        </w:rPr>
        <w:t>районный совет депутатов</w:t>
      </w:r>
    </w:p>
    <w:p w:rsidR="00830E27" w:rsidRPr="00385A4D" w:rsidRDefault="00830E27" w:rsidP="00C41474">
      <w:pPr>
        <w:pStyle w:val="a4"/>
        <w:spacing w:line="480" w:lineRule="auto"/>
        <w:rPr>
          <w:b/>
          <w:caps/>
          <w:spacing w:val="20"/>
        </w:rPr>
      </w:pPr>
      <w:r w:rsidRPr="00385A4D">
        <w:rPr>
          <w:b/>
          <w:caps/>
          <w:spacing w:val="20"/>
        </w:rPr>
        <w:t>Алтайского края</w:t>
      </w:r>
    </w:p>
    <w:p w:rsidR="00830E27" w:rsidRDefault="00837B78" w:rsidP="00C41474">
      <w:pPr>
        <w:pStyle w:val="3"/>
        <w:rPr>
          <w:rFonts w:ascii="Arial" w:hAnsi="Arial" w:cs="Arial"/>
          <w:spacing w:val="84"/>
          <w:sz w:val="36"/>
          <w:szCs w:val="36"/>
        </w:rPr>
      </w:pPr>
      <w:r>
        <w:rPr>
          <w:rFonts w:ascii="Arial" w:hAnsi="Arial" w:cs="Arial"/>
          <w:spacing w:val="84"/>
          <w:sz w:val="36"/>
          <w:szCs w:val="36"/>
        </w:rPr>
        <w:t>решени</w:t>
      </w:r>
      <w:r w:rsidR="00385A4D" w:rsidRPr="00BF2A56">
        <w:rPr>
          <w:rFonts w:ascii="Arial" w:hAnsi="Arial" w:cs="Arial"/>
          <w:spacing w:val="84"/>
          <w:sz w:val="36"/>
          <w:szCs w:val="36"/>
        </w:rPr>
        <w:t>Е</w:t>
      </w:r>
    </w:p>
    <w:p w:rsidR="00837B78" w:rsidRDefault="00837B78" w:rsidP="00C41474">
      <w:pPr>
        <w:jc w:val="center"/>
        <w:rPr>
          <w:sz w:val="28"/>
          <w:szCs w:val="28"/>
        </w:rPr>
      </w:pPr>
      <w:r w:rsidRPr="00C41474">
        <w:rPr>
          <w:sz w:val="28"/>
          <w:szCs w:val="28"/>
        </w:rPr>
        <w:t xml:space="preserve">/ </w:t>
      </w:r>
      <w:r w:rsidR="00107F47" w:rsidRPr="00107F47">
        <w:rPr>
          <w:sz w:val="28"/>
          <w:szCs w:val="28"/>
        </w:rPr>
        <w:t>двадцать вторая</w:t>
      </w:r>
      <w:r w:rsidRPr="00C41474">
        <w:rPr>
          <w:sz w:val="28"/>
          <w:szCs w:val="28"/>
        </w:rPr>
        <w:t xml:space="preserve"> сессия </w:t>
      </w:r>
      <w:r w:rsidRPr="00C41474">
        <w:rPr>
          <w:sz w:val="28"/>
          <w:szCs w:val="28"/>
        </w:rPr>
        <w:fldChar w:fldCharType="begin">
          <w:ffData>
            <w:name w:val="ТекстовоеПоле12"/>
            <w:enabled/>
            <w:calcOnExit w:val="0"/>
            <w:textInput/>
          </w:ffData>
        </w:fldChar>
      </w:r>
      <w:bookmarkStart w:id="0" w:name="ТекстовоеПоле12"/>
      <w:r w:rsidRPr="00C41474">
        <w:rPr>
          <w:sz w:val="28"/>
          <w:szCs w:val="28"/>
        </w:rPr>
        <w:instrText xml:space="preserve"> FORMTEXT </w:instrText>
      </w:r>
      <w:r w:rsidRPr="00C41474">
        <w:rPr>
          <w:sz w:val="28"/>
          <w:szCs w:val="28"/>
        </w:rPr>
      </w:r>
      <w:r w:rsidRPr="00C41474">
        <w:rPr>
          <w:sz w:val="28"/>
          <w:szCs w:val="28"/>
        </w:rPr>
        <w:fldChar w:fldCharType="separate"/>
      </w:r>
      <w:r w:rsidR="00910FFB">
        <w:rPr>
          <w:noProof/>
          <w:sz w:val="28"/>
          <w:szCs w:val="28"/>
        </w:rPr>
        <w:t>пятого</w:t>
      </w:r>
      <w:r w:rsidRPr="00C41474">
        <w:rPr>
          <w:sz w:val="28"/>
          <w:szCs w:val="28"/>
        </w:rPr>
        <w:fldChar w:fldCharType="end"/>
      </w:r>
      <w:bookmarkEnd w:id="0"/>
      <w:r w:rsidRPr="00C41474">
        <w:rPr>
          <w:sz w:val="28"/>
          <w:szCs w:val="28"/>
        </w:rPr>
        <w:t xml:space="preserve"> созыва /</w:t>
      </w:r>
    </w:p>
    <w:p w:rsidR="00C41474" w:rsidRPr="00C41474" w:rsidRDefault="00C41474" w:rsidP="00C41474">
      <w:pPr>
        <w:spacing w:line="480" w:lineRule="auto"/>
        <w:jc w:val="center"/>
        <w:rPr>
          <w:sz w:val="28"/>
          <w:szCs w:val="28"/>
        </w:rPr>
      </w:pPr>
    </w:p>
    <w:tbl>
      <w:tblPr>
        <w:tblW w:w="0" w:type="auto"/>
        <w:tblCellMar>
          <w:left w:w="0" w:type="dxa"/>
          <w:right w:w="0" w:type="dxa"/>
        </w:tblCellMar>
        <w:tblLook w:val="04A0" w:firstRow="1" w:lastRow="0" w:firstColumn="1" w:lastColumn="0" w:noHBand="0" w:noVBand="1"/>
      </w:tblPr>
      <w:tblGrid>
        <w:gridCol w:w="3041"/>
        <w:gridCol w:w="3021"/>
        <w:gridCol w:w="418"/>
        <w:gridCol w:w="2590"/>
      </w:tblGrid>
      <w:tr w:rsidR="00B83D72" w:rsidRPr="00B83D72" w:rsidTr="00C41474">
        <w:tc>
          <w:tcPr>
            <w:tcW w:w="3117" w:type="dxa"/>
            <w:tcBorders>
              <w:bottom w:val="single" w:sz="4" w:space="0" w:color="auto"/>
            </w:tcBorders>
          </w:tcPr>
          <w:p w:rsidR="00F92510" w:rsidRPr="00B83D72" w:rsidRDefault="004B5080" w:rsidP="00380B0B">
            <w:pPr>
              <w:jc w:val="center"/>
              <w:rPr>
                <w:sz w:val="24"/>
                <w:szCs w:val="24"/>
              </w:rPr>
            </w:pPr>
            <w:bookmarkStart w:id="1" w:name="_GoBack"/>
            <w:r>
              <w:rPr>
                <w:rFonts w:ascii="Arial" w:hAnsi="Arial" w:cs="Arial"/>
                <w:sz w:val="24"/>
                <w:szCs w:val="24"/>
              </w:rPr>
              <w:t>30.03.2017</w:t>
            </w:r>
            <w:bookmarkEnd w:id="1"/>
          </w:p>
        </w:tc>
        <w:tc>
          <w:tcPr>
            <w:tcW w:w="3119" w:type="dxa"/>
          </w:tcPr>
          <w:p w:rsidR="00F92510" w:rsidRPr="00B83D72" w:rsidRDefault="00F92510" w:rsidP="00B83D72">
            <w:pPr>
              <w:jc w:val="center"/>
              <w:rPr>
                <w:sz w:val="24"/>
                <w:szCs w:val="24"/>
              </w:rPr>
            </w:pPr>
          </w:p>
        </w:tc>
        <w:tc>
          <w:tcPr>
            <w:tcW w:w="425" w:type="dxa"/>
          </w:tcPr>
          <w:p w:rsidR="00F92510" w:rsidRPr="00B83D72" w:rsidRDefault="00CD35EF" w:rsidP="00B83D72">
            <w:pPr>
              <w:jc w:val="center"/>
              <w:rPr>
                <w:sz w:val="24"/>
                <w:szCs w:val="24"/>
              </w:rPr>
            </w:pPr>
            <w:r w:rsidRPr="00B83D72">
              <w:rPr>
                <w:rFonts w:ascii="Arial" w:hAnsi="Arial" w:cs="Arial"/>
                <w:sz w:val="24"/>
                <w:szCs w:val="24"/>
              </w:rPr>
              <w:t>№</w:t>
            </w:r>
          </w:p>
        </w:tc>
        <w:tc>
          <w:tcPr>
            <w:tcW w:w="2693" w:type="dxa"/>
            <w:tcBorders>
              <w:bottom w:val="single" w:sz="4" w:space="0" w:color="auto"/>
            </w:tcBorders>
          </w:tcPr>
          <w:p w:rsidR="00F92510" w:rsidRPr="00B83D72" w:rsidRDefault="000749C7" w:rsidP="00324626">
            <w:pPr>
              <w:jc w:val="center"/>
              <w:rPr>
                <w:sz w:val="24"/>
                <w:szCs w:val="24"/>
              </w:rPr>
            </w:pPr>
            <w:r>
              <w:rPr>
                <w:sz w:val="24"/>
                <w:szCs w:val="24"/>
              </w:rPr>
              <w:t>3</w:t>
            </w:r>
          </w:p>
        </w:tc>
      </w:tr>
      <w:tr w:rsidR="00B83D72" w:rsidRPr="00B83D72" w:rsidTr="00C41474">
        <w:tc>
          <w:tcPr>
            <w:tcW w:w="3117" w:type="dxa"/>
            <w:tcBorders>
              <w:top w:val="single" w:sz="4" w:space="0" w:color="auto"/>
            </w:tcBorders>
          </w:tcPr>
          <w:p w:rsidR="00F92510" w:rsidRPr="00B83D72" w:rsidRDefault="00F92510" w:rsidP="00B83D72">
            <w:pPr>
              <w:jc w:val="center"/>
              <w:rPr>
                <w:rFonts w:ascii="Arial" w:hAnsi="Arial" w:cs="Arial"/>
                <w:sz w:val="24"/>
                <w:szCs w:val="24"/>
              </w:rPr>
            </w:pPr>
          </w:p>
        </w:tc>
        <w:tc>
          <w:tcPr>
            <w:tcW w:w="3119" w:type="dxa"/>
          </w:tcPr>
          <w:p w:rsidR="00F92510" w:rsidRPr="00B83D72" w:rsidRDefault="00F92510" w:rsidP="00B83D72">
            <w:pPr>
              <w:jc w:val="center"/>
              <w:rPr>
                <w:sz w:val="24"/>
                <w:szCs w:val="24"/>
              </w:rPr>
            </w:pPr>
            <w:r w:rsidRPr="00B83D72">
              <w:rPr>
                <w:rFonts w:ascii="Arial" w:hAnsi="Arial" w:cs="Arial"/>
                <w:b/>
                <w:sz w:val="18"/>
                <w:szCs w:val="18"/>
              </w:rPr>
              <w:t>с. Табуны</w:t>
            </w:r>
          </w:p>
        </w:tc>
        <w:tc>
          <w:tcPr>
            <w:tcW w:w="3118" w:type="dxa"/>
            <w:gridSpan w:val="2"/>
          </w:tcPr>
          <w:p w:rsidR="00F92510" w:rsidRPr="00B83D72" w:rsidRDefault="00F92510" w:rsidP="00B83D72">
            <w:pPr>
              <w:jc w:val="center"/>
              <w:rPr>
                <w:rFonts w:ascii="Arial" w:hAnsi="Arial" w:cs="Arial"/>
                <w:sz w:val="24"/>
                <w:szCs w:val="24"/>
              </w:rPr>
            </w:pPr>
          </w:p>
        </w:tc>
      </w:tr>
    </w:tbl>
    <w:p w:rsidR="00F92510" w:rsidRDefault="00F92510" w:rsidP="00CD35EF">
      <w:pPr>
        <w:jc w:val="center"/>
        <w:rPr>
          <w:sz w:val="28"/>
          <w:szCs w:val="28"/>
        </w:rPr>
      </w:pPr>
    </w:p>
    <w:tbl>
      <w:tblPr>
        <w:tblW w:w="0" w:type="auto"/>
        <w:tblCellMar>
          <w:left w:w="0" w:type="dxa"/>
          <w:right w:w="0" w:type="dxa"/>
        </w:tblCellMar>
        <w:tblLook w:val="04A0" w:firstRow="1" w:lastRow="0" w:firstColumn="1" w:lastColumn="0" w:noHBand="0" w:noVBand="1"/>
      </w:tblPr>
      <w:tblGrid>
        <w:gridCol w:w="145"/>
        <w:gridCol w:w="4425"/>
        <w:gridCol w:w="138"/>
        <w:gridCol w:w="4357"/>
      </w:tblGrid>
      <w:tr w:rsidR="00B83D72" w:rsidRPr="00B83D72" w:rsidTr="000C673E">
        <w:tc>
          <w:tcPr>
            <w:tcW w:w="147" w:type="dxa"/>
            <w:tcBorders>
              <w:top w:val="single" w:sz="4" w:space="0" w:color="auto"/>
              <w:left w:val="single" w:sz="4" w:space="0" w:color="auto"/>
            </w:tcBorders>
          </w:tcPr>
          <w:p w:rsidR="00CD35EF" w:rsidRPr="00B83D72" w:rsidRDefault="00CD35EF" w:rsidP="00B83D72">
            <w:pPr>
              <w:jc w:val="both"/>
              <w:rPr>
                <w:sz w:val="10"/>
                <w:szCs w:val="10"/>
              </w:rPr>
            </w:pPr>
          </w:p>
        </w:tc>
        <w:tc>
          <w:tcPr>
            <w:tcW w:w="4536" w:type="dxa"/>
          </w:tcPr>
          <w:p w:rsidR="00CD35EF" w:rsidRPr="00B83D72" w:rsidRDefault="00CD35EF" w:rsidP="00B83D72">
            <w:pPr>
              <w:jc w:val="both"/>
              <w:rPr>
                <w:sz w:val="10"/>
                <w:szCs w:val="10"/>
              </w:rPr>
            </w:pPr>
          </w:p>
        </w:tc>
        <w:tc>
          <w:tcPr>
            <w:tcW w:w="142" w:type="dxa"/>
            <w:tcBorders>
              <w:top w:val="single" w:sz="4" w:space="0" w:color="auto"/>
              <w:right w:val="single" w:sz="4" w:space="0" w:color="auto"/>
            </w:tcBorders>
          </w:tcPr>
          <w:p w:rsidR="00CD35EF" w:rsidRPr="00B83D72" w:rsidRDefault="00CD35EF" w:rsidP="00B83D72">
            <w:pPr>
              <w:jc w:val="both"/>
              <w:rPr>
                <w:sz w:val="10"/>
                <w:szCs w:val="10"/>
              </w:rPr>
            </w:pPr>
          </w:p>
        </w:tc>
        <w:tc>
          <w:tcPr>
            <w:tcW w:w="4534" w:type="dxa"/>
            <w:tcBorders>
              <w:left w:val="single" w:sz="4" w:space="0" w:color="auto"/>
            </w:tcBorders>
          </w:tcPr>
          <w:p w:rsidR="00CD35EF" w:rsidRPr="00B83D72" w:rsidRDefault="00CD35EF" w:rsidP="00B83D72">
            <w:pPr>
              <w:jc w:val="center"/>
              <w:rPr>
                <w:sz w:val="10"/>
                <w:szCs w:val="10"/>
              </w:rPr>
            </w:pPr>
          </w:p>
        </w:tc>
      </w:tr>
      <w:tr w:rsidR="00F92510" w:rsidRPr="00B83D72" w:rsidTr="000C673E">
        <w:tc>
          <w:tcPr>
            <w:tcW w:w="4825" w:type="dxa"/>
            <w:gridSpan w:val="3"/>
          </w:tcPr>
          <w:p w:rsidR="00F92510" w:rsidRPr="00B83D72" w:rsidRDefault="00107F47" w:rsidP="004B5080">
            <w:pPr>
              <w:jc w:val="both"/>
              <w:rPr>
                <w:sz w:val="28"/>
                <w:szCs w:val="28"/>
              </w:rPr>
            </w:pPr>
            <w:r w:rsidRPr="00107F47">
              <w:rPr>
                <w:sz w:val="28"/>
                <w:szCs w:val="28"/>
              </w:rPr>
              <w:t>О работе администрации района за   2016 год</w:t>
            </w:r>
          </w:p>
        </w:tc>
        <w:tc>
          <w:tcPr>
            <w:tcW w:w="4534" w:type="dxa"/>
          </w:tcPr>
          <w:p w:rsidR="00F92510" w:rsidRPr="00B83D72" w:rsidRDefault="00F92510" w:rsidP="00B83D72">
            <w:pPr>
              <w:jc w:val="center"/>
              <w:rPr>
                <w:sz w:val="28"/>
                <w:szCs w:val="28"/>
              </w:rPr>
            </w:pPr>
          </w:p>
        </w:tc>
      </w:tr>
    </w:tbl>
    <w:p w:rsidR="00830E27" w:rsidRPr="00F92510" w:rsidRDefault="00830E27">
      <w:pPr>
        <w:jc w:val="both"/>
        <w:rPr>
          <w:sz w:val="28"/>
          <w:szCs w:val="28"/>
        </w:rPr>
      </w:pPr>
    </w:p>
    <w:p w:rsidR="00107F47" w:rsidRPr="00107F47" w:rsidRDefault="00107F47" w:rsidP="00107F47">
      <w:pPr>
        <w:ind w:firstLine="720"/>
        <w:jc w:val="both"/>
        <w:rPr>
          <w:sz w:val="28"/>
          <w:szCs w:val="28"/>
        </w:rPr>
      </w:pPr>
      <w:r w:rsidRPr="00107F47">
        <w:rPr>
          <w:sz w:val="28"/>
          <w:szCs w:val="28"/>
        </w:rPr>
        <w:t>Заслушав в соответствии со ст. 25 Устава муниципального образования Табунский район Алтайского края отчет о работе администрации района за 2016 год, районный Совет депутатов отмечает, что  администрацией района и всеми ее структурными подразделениями принимались меры по реализации  основных направлений Комплексной  программы социально-экономического развития Табунского района на 2008-2017 годы.</w:t>
      </w:r>
    </w:p>
    <w:p w:rsidR="00107F47" w:rsidRPr="00107F47" w:rsidRDefault="00107F47" w:rsidP="00107F47">
      <w:pPr>
        <w:ind w:firstLine="720"/>
        <w:jc w:val="both"/>
        <w:rPr>
          <w:sz w:val="28"/>
          <w:szCs w:val="28"/>
        </w:rPr>
      </w:pPr>
      <w:r w:rsidRPr="00107F47">
        <w:rPr>
          <w:sz w:val="28"/>
          <w:szCs w:val="28"/>
        </w:rPr>
        <w:t xml:space="preserve">Ситуация в социально-экономическом развитии района остается стабильной. Продолжается рост производства в сельскохозяйственной отрасли, в розничной торговле, растет объем инвестиций. Наблюдается тенденция роста денежных доходов населения, начисленной среднемесячной заработной платы одного работника. За отчетный период сохранилась динамика роста сельского хозяйства, выполнены все индикативные показатели по поголовью животных, выросло валовое производство молока, достигнут наилучший за всю историю района показатель продуктивности районного стада, два мастера машинного доения вошли в клуб лучших животноводов края. В районе нарастают объемы товарооборота и услуг, предоставляемых населению всеми субъектами, работающими в этой сфере. Несмотря на сложности, удалось сохранить достигнутые позиции в коммунальном обслуживании. </w:t>
      </w:r>
    </w:p>
    <w:p w:rsidR="00107F47" w:rsidRPr="00107F47" w:rsidRDefault="00107F47" w:rsidP="00107F47">
      <w:pPr>
        <w:ind w:firstLine="720"/>
        <w:jc w:val="both"/>
        <w:rPr>
          <w:sz w:val="28"/>
          <w:szCs w:val="28"/>
        </w:rPr>
      </w:pPr>
      <w:r w:rsidRPr="00107F47">
        <w:rPr>
          <w:sz w:val="28"/>
          <w:szCs w:val="28"/>
        </w:rPr>
        <w:t xml:space="preserve">Стабильной остается ситуация на рынке труда. Уровень регистрируемой безработицы к численности трудоспособного населения остался на уровне 2015 года. Сохраняется тенденция естественного прироста населения, снизилась смертность в трудоспособном возрасте. </w:t>
      </w:r>
    </w:p>
    <w:p w:rsidR="00107F47" w:rsidRPr="00107F47" w:rsidRDefault="00107F47" w:rsidP="00107F47">
      <w:pPr>
        <w:ind w:firstLine="720"/>
        <w:jc w:val="both"/>
        <w:rPr>
          <w:sz w:val="28"/>
          <w:szCs w:val="28"/>
        </w:rPr>
      </w:pPr>
      <w:r w:rsidRPr="00107F47">
        <w:rPr>
          <w:sz w:val="28"/>
          <w:szCs w:val="28"/>
        </w:rPr>
        <w:t>В 2016 году проведена реконструкция водопроводов в селах Табуны и Большеромановка. Постоянно велась работа по экономии энергоресурсов, использованию на котельных альтернативного топлива.</w:t>
      </w:r>
    </w:p>
    <w:p w:rsidR="00107F47" w:rsidRPr="00107F47" w:rsidRDefault="00107F47" w:rsidP="00107F47">
      <w:pPr>
        <w:ind w:firstLine="720"/>
        <w:jc w:val="both"/>
        <w:rPr>
          <w:sz w:val="28"/>
          <w:szCs w:val="28"/>
        </w:rPr>
      </w:pPr>
      <w:r w:rsidRPr="00107F47">
        <w:rPr>
          <w:sz w:val="28"/>
          <w:szCs w:val="28"/>
        </w:rPr>
        <w:t>Все предприятия района, за исключением СПК «Лебединский», ИП «Сальников Ю.М.» и МУП «Дирекция заказчика по ремонту и содержанию жилья», завершили отчетный год с прибылью.</w:t>
      </w:r>
    </w:p>
    <w:p w:rsidR="00107F47" w:rsidRPr="00107F47" w:rsidRDefault="00107F47" w:rsidP="00107F47">
      <w:pPr>
        <w:ind w:firstLine="720"/>
        <w:jc w:val="both"/>
        <w:rPr>
          <w:sz w:val="28"/>
          <w:szCs w:val="28"/>
        </w:rPr>
      </w:pPr>
      <w:r w:rsidRPr="00107F47">
        <w:rPr>
          <w:sz w:val="28"/>
          <w:szCs w:val="28"/>
        </w:rPr>
        <w:t xml:space="preserve">Выполнялись обязательства по предоставлению гражданам социальных выплат, пособий, компенсаций и других мер социальной поддержки; базовые обязательства в сферы культуры и спорта. </w:t>
      </w:r>
    </w:p>
    <w:p w:rsidR="00107F47" w:rsidRPr="00107F47" w:rsidRDefault="00107F47" w:rsidP="00107F47">
      <w:pPr>
        <w:ind w:firstLine="720"/>
        <w:jc w:val="both"/>
        <w:rPr>
          <w:sz w:val="28"/>
          <w:szCs w:val="28"/>
        </w:rPr>
      </w:pPr>
      <w:r w:rsidRPr="00107F47">
        <w:rPr>
          <w:sz w:val="28"/>
          <w:szCs w:val="28"/>
        </w:rPr>
        <w:t xml:space="preserve">При стабильной успеваемости повышается качество знаний учащихся общеобразовательных школ района. Профильным обучением охвачены все учащиеся  старшей ступени. В районе реализуется комплекс мер, направленных на обеспечение доступным образованием детей-инвалидов и детей с ограниченными возможностями здоровья.  </w:t>
      </w:r>
    </w:p>
    <w:p w:rsidR="00107F47" w:rsidRPr="00107F47" w:rsidRDefault="00107F47" w:rsidP="00107F47">
      <w:pPr>
        <w:ind w:firstLine="720"/>
        <w:jc w:val="both"/>
        <w:rPr>
          <w:sz w:val="28"/>
          <w:szCs w:val="28"/>
        </w:rPr>
      </w:pPr>
      <w:r w:rsidRPr="00107F47">
        <w:rPr>
          <w:sz w:val="28"/>
          <w:szCs w:val="28"/>
        </w:rPr>
        <w:t>Вместе с тем, возрастает убыточность предприятий сферы ЖКХ. Нарастание ценовых диспропорций на энергоресурсы и материалы не покрывается тарифами, сдерживаемыми недостаточно высоким уровнем доходов населения и социально ориентированной тарифной политикой. Это усугубляет ситуацию по обновлению основных фондов, проведению широкомасштабной модернизации и повышению финансовой эффективности коммунальных служб.</w:t>
      </w:r>
    </w:p>
    <w:p w:rsidR="00830E27" w:rsidRPr="001344D2" w:rsidRDefault="00107F47" w:rsidP="00107F47">
      <w:pPr>
        <w:ind w:firstLine="720"/>
        <w:jc w:val="both"/>
        <w:rPr>
          <w:sz w:val="28"/>
          <w:szCs w:val="28"/>
        </w:rPr>
      </w:pPr>
      <w:r w:rsidRPr="00107F47">
        <w:rPr>
          <w:sz w:val="28"/>
          <w:szCs w:val="28"/>
        </w:rPr>
        <w:t>Продолжающаяся оптимизация в  социальной сфере и управленческих структурах вызывает нарекания граждан. За счет миграционных процессов сокращается численность населения района.    На основании вышеизложенного</w:t>
      </w:r>
      <w:r w:rsidR="00830E27" w:rsidRPr="001344D2">
        <w:rPr>
          <w:sz w:val="28"/>
          <w:szCs w:val="28"/>
        </w:rPr>
        <w:t xml:space="preserve">, </w:t>
      </w:r>
      <w:r w:rsidR="00837B78">
        <w:rPr>
          <w:sz w:val="28"/>
          <w:szCs w:val="28"/>
        </w:rPr>
        <w:t xml:space="preserve">районный Совет депутатов </w:t>
      </w:r>
      <w:r w:rsidR="00837B78">
        <w:rPr>
          <w:spacing w:val="40"/>
          <w:sz w:val="28"/>
          <w:szCs w:val="28"/>
        </w:rPr>
        <w:t>решил</w:t>
      </w:r>
      <w:r w:rsidR="00830E27" w:rsidRPr="001344D2">
        <w:rPr>
          <w:spacing w:val="40"/>
          <w:sz w:val="28"/>
          <w:szCs w:val="28"/>
        </w:rPr>
        <w:t>:</w:t>
      </w:r>
    </w:p>
    <w:p w:rsidR="00830E27" w:rsidRPr="001344D2" w:rsidRDefault="00830E27">
      <w:pPr>
        <w:ind w:firstLine="720"/>
        <w:jc w:val="both"/>
        <w:rPr>
          <w:sz w:val="28"/>
          <w:szCs w:val="28"/>
        </w:rPr>
      </w:pPr>
    </w:p>
    <w:bookmarkStart w:id="2" w:name="ПолеСоСписком1"/>
    <w:p w:rsidR="00107F47" w:rsidRPr="00107F47" w:rsidRDefault="00830E27" w:rsidP="00107F47">
      <w:pPr>
        <w:jc w:val="both"/>
        <w:rPr>
          <w:sz w:val="28"/>
          <w:szCs w:val="28"/>
        </w:rPr>
      </w:pPr>
      <w:r w:rsidRPr="001344D2">
        <w:rPr>
          <w:sz w:val="28"/>
          <w:szCs w:val="28"/>
        </w:rPr>
        <w:fldChar w:fldCharType="begin">
          <w:ffData>
            <w:name w:val="ПолеСоСписком1"/>
            <w:enabled/>
            <w:calcOnExit w:val="0"/>
            <w:ddList>
              <w:result w:val="1"/>
              <w:listEntry w:val=" "/>
              <w:listEntry w:val="1."/>
            </w:ddList>
          </w:ffData>
        </w:fldChar>
      </w:r>
      <w:r w:rsidRPr="001344D2">
        <w:rPr>
          <w:sz w:val="28"/>
          <w:szCs w:val="28"/>
        </w:rPr>
        <w:instrText xml:space="preserve"> FORMDROPDOWN </w:instrText>
      </w:r>
      <w:r w:rsidR="00CD0F03" w:rsidRPr="001344D2">
        <w:rPr>
          <w:sz w:val="28"/>
          <w:szCs w:val="28"/>
        </w:rPr>
      </w:r>
      <w:r w:rsidRPr="001344D2">
        <w:rPr>
          <w:sz w:val="28"/>
          <w:szCs w:val="28"/>
        </w:rPr>
        <w:fldChar w:fldCharType="end"/>
      </w:r>
      <w:bookmarkEnd w:id="2"/>
      <w:r w:rsidRPr="001344D2">
        <w:rPr>
          <w:sz w:val="28"/>
          <w:szCs w:val="28"/>
        </w:rPr>
        <w:tab/>
      </w:r>
      <w:r w:rsidR="00107F47" w:rsidRPr="00107F47">
        <w:rPr>
          <w:sz w:val="28"/>
          <w:szCs w:val="28"/>
        </w:rPr>
        <w:t>Отчет о работе администрации района за 2016 год принять к сведению.</w:t>
      </w:r>
    </w:p>
    <w:p w:rsidR="00107F47" w:rsidRPr="00107F47" w:rsidRDefault="00107F47" w:rsidP="00107F47">
      <w:pPr>
        <w:jc w:val="both"/>
        <w:rPr>
          <w:sz w:val="28"/>
          <w:szCs w:val="28"/>
        </w:rPr>
      </w:pPr>
      <w:r w:rsidRPr="00107F47">
        <w:rPr>
          <w:sz w:val="28"/>
          <w:szCs w:val="28"/>
        </w:rPr>
        <w:t>2.</w:t>
      </w:r>
      <w:r w:rsidRPr="00107F47">
        <w:rPr>
          <w:sz w:val="28"/>
          <w:szCs w:val="28"/>
        </w:rPr>
        <w:tab/>
        <w:t>Поддержать действия администрации Табунского района Алтайского края по выполнению комплекса мер, направленных на реализацию стратегических задач социально-экономического развития района в контексте выполнения указов и поручений Президента РФ.</w:t>
      </w:r>
    </w:p>
    <w:p w:rsidR="00107F47" w:rsidRPr="00107F47" w:rsidRDefault="00107F47" w:rsidP="00107F47">
      <w:pPr>
        <w:jc w:val="both"/>
        <w:rPr>
          <w:sz w:val="28"/>
          <w:szCs w:val="28"/>
        </w:rPr>
      </w:pPr>
    </w:p>
    <w:p w:rsidR="00107F47" w:rsidRPr="00107F47" w:rsidRDefault="00107F47" w:rsidP="00107F47">
      <w:pPr>
        <w:jc w:val="both"/>
        <w:rPr>
          <w:sz w:val="28"/>
          <w:szCs w:val="28"/>
        </w:rPr>
      </w:pPr>
      <w:r w:rsidRPr="00107F47">
        <w:rPr>
          <w:sz w:val="28"/>
          <w:szCs w:val="28"/>
        </w:rPr>
        <w:t xml:space="preserve">3. </w:t>
      </w:r>
      <w:r w:rsidRPr="00107F47">
        <w:rPr>
          <w:sz w:val="28"/>
          <w:szCs w:val="28"/>
        </w:rPr>
        <w:tab/>
        <w:t>Первоочередными задачами  социально-экономичаеского развития района на 2017 год считать:</w:t>
      </w:r>
    </w:p>
    <w:p w:rsidR="00107F47" w:rsidRPr="00107F47" w:rsidRDefault="00107F47" w:rsidP="00107F47">
      <w:pPr>
        <w:jc w:val="both"/>
        <w:rPr>
          <w:sz w:val="28"/>
          <w:szCs w:val="28"/>
        </w:rPr>
      </w:pPr>
      <w:r w:rsidRPr="00107F47">
        <w:rPr>
          <w:sz w:val="28"/>
          <w:szCs w:val="28"/>
        </w:rPr>
        <w:t>–</w:t>
      </w:r>
      <w:r w:rsidRPr="00107F47">
        <w:rPr>
          <w:sz w:val="28"/>
          <w:szCs w:val="28"/>
        </w:rPr>
        <w:tab/>
        <w:t>участие в федеральных и краевых программах, реализацию муниципальных программ, обеспечивающих наращивание производственного и сельскохозяйственного потенциала района, улучшение условий жизни населения;</w:t>
      </w:r>
    </w:p>
    <w:p w:rsidR="00107F47" w:rsidRPr="00107F47" w:rsidRDefault="00107F47" w:rsidP="00107F47">
      <w:pPr>
        <w:jc w:val="both"/>
        <w:rPr>
          <w:sz w:val="28"/>
          <w:szCs w:val="28"/>
        </w:rPr>
      </w:pPr>
      <w:r w:rsidRPr="00107F47">
        <w:rPr>
          <w:sz w:val="28"/>
          <w:szCs w:val="28"/>
        </w:rPr>
        <w:t>–</w:t>
      </w:r>
      <w:r w:rsidRPr="00107F47">
        <w:rPr>
          <w:sz w:val="28"/>
          <w:szCs w:val="28"/>
        </w:rPr>
        <w:tab/>
        <w:t>работу по инвентаризации и повышению плодородия земель сельскохозяйственного назначения, росту  продуктивности маточного поголовья, участию района в конкурсах с грантовой поддержкой;</w:t>
      </w:r>
    </w:p>
    <w:p w:rsidR="00107F47" w:rsidRPr="00107F47" w:rsidRDefault="00107F47" w:rsidP="00107F47">
      <w:pPr>
        <w:jc w:val="both"/>
        <w:rPr>
          <w:sz w:val="28"/>
          <w:szCs w:val="28"/>
        </w:rPr>
      </w:pPr>
      <w:r w:rsidRPr="00107F47">
        <w:rPr>
          <w:sz w:val="28"/>
          <w:szCs w:val="28"/>
        </w:rPr>
        <w:t>–</w:t>
      </w:r>
      <w:r w:rsidRPr="00107F47">
        <w:rPr>
          <w:sz w:val="28"/>
          <w:szCs w:val="28"/>
        </w:rPr>
        <w:tab/>
        <w:t>формирование кадрового резерва работников сельского хозяйства;</w:t>
      </w:r>
    </w:p>
    <w:p w:rsidR="00107F47" w:rsidRPr="00107F47" w:rsidRDefault="00107F47" w:rsidP="00107F47">
      <w:pPr>
        <w:jc w:val="both"/>
        <w:rPr>
          <w:sz w:val="28"/>
          <w:szCs w:val="28"/>
        </w:rPr>
      </w:pPr>
      <w:r w:rsidRPr="00107F47">
        <w:rPr>
          <w:sz w:val="28"/>
          <w:szCs w:val="28"/>
        </w:rPr>
        <w:t>содействие в получении государственной и иной финансовой, а так же  имущественной и консультационной поддержки субъектам малого предпринимательства в том числе по вопросам организации предприятий полного цикла;</w:t>
      </w:r>
    </w:p>
    <w:p w:rsidR="00107F47" w:rsidRPr="00107F47" w:rsidRDefault="00107F47" w:rsidP="00107F47">
      <w:pPr>
        <w:jc w:val="both"/>
        <w:rPr>
          <w:sz w:val="28"/>
          <w:szCs w:val="28"/>
        </w:rPr>
      </w:pPr>
      <w:r w:rsidRPr="00107F47">
        <w:rPr>
          <w:sz w:val="28"/>
          <w:szCs w:val="28"/>
        </w:rPr>
        <w:t xml:space="preserve">улучшение инвестиционного климата и привлечению инвесторов; </w:t>
      </w:r>
    </w:p>
    <w:p w:rsidR="00107F47" w:rsidRPr="00107F47" w:rsidRDefault="00107F47" w:rsidP="00107F47">
      <w:pPr>
        <w:jc w:val="both"/>
        <w:rPr>
          <w:sz w:val="28"/>
          <w:szCs w:val="28"/>
        </w:rPr>
      </w:pPr>
      <w:r w:rsidRPr="00107F47">
        <w:rPr>
          <w:sz w:val="28"/>
          <w:szCs w:val="28"/>
        </w:rPr>
        <w:t>эффективное использование муниципального имущества;</w:t>
      </w:r>
    </w:p>
    <w:p w:rsidR="00107F47" w:rsidRPr="00107F47" w:rsidRDefault="00107F47" w:rsidP="00107F47">
      <w:pPr>
        <w:jc w:val="both"/>
        <w:rPr>
          <w:sz w:val="28"/>
          <w:szCs w:val="28"/>
        </w:rPr>
      </w:pPr>
      <w:r w:rsidRPr="00107F47">
        <w:rPr>
          <w:sz w:val="28"/>
          <w:szCs w:val="28"/>
        </w:rPr>
        <w:t xml:space="preserve">изыскание возможности разработки проектно-сметной документации для обеспечения широкой возможности включения объектов в федеральные и краевые адресные программы; </w:t>
      </w:r>
    </w:p>
    <w:p w:rsidR="00107F47" w:rsidRPr="00107F47" w:rsidRDefault="00107F47" w:rsidP="00107F47">
      <w:pPr>
        <w:jc w:val="both"/>
        <w:rPr>
          <w:sz w:val="28"/>
          <w:szCs w:val="28"/>
        </w:rPr>
      </w:pPr>
      <w:r w:rsidRPr="00107F47">
        <w:rPr>
          <w:sz w:val="28"/>
          <w:szCs w:val="28"/>
        </w:rPr>
        <w:t>–</w:t>
      </w:r>
      <w:r w:rsidRPr="00107F47">
        <w:rPr>
          <w:sz w:val="28"/>
          <w:szCs w:val="28"/>
        </w:rPr>
        <w:tab/>
        <w:t xml:space="preserve">увеличение собственных доходов бюджета, их максимально рациональное расходование, сокращение неэффективных расходов; </w:t>
      </w:r>
    </w:p>
    <w:p w:rsidR="00107F47" w:rsidRPr="00107F47" w:rsidRDefault="00107F47" w:rsidP="00107F47">
      <w:pPr>
        <w:jc w:val="both"/>
        <w:rPr>
          <w:sz w:val="28"/>
          <w:szCs w:val="28"/>
        </w:rPr>
      </w:pPr>
      <w:r w:rsidRPr="00107F47">
        <w:rPr>
          <w:sz w:val="28"/>
          <w:szCs w:val="28"/>
        </w:rPr>
        <w:t>–</w:t>
      </w:r>
      <w:r w:rsidRPr="00107F47">
        <w:rPr>
          <w:sz w:val="28"/>
          <w:szCs w:val="28"/>
        </w:rPr>
        <w:tab/>
        <w:t>выполнение мероприятий по экономии энергоресурсов в теплоснабжающих и коммунальных организациях с целью сдерживания тарифов на услуги ЖКХ и в организациях бюджетной сферы;</w:t>
      </w:r>
    </w:p>
    <w:p w:rsidR="00107F47" w:rsidRPr="00107F47" w:rsidRDefault="00107F47" w:rsidP="00107F47">
      <w:pPr>
        <w:jc w:val="both"/>
        <w:rPr>
          <w:sz w:val="28"/>
          <w:szCs w:val="28"/>
        </w:rPr>
      </w:pPr>
      <w:r w:rsidRPr="00107F47">
        <w:rPr>
          <w:sz w:val="28"/>
          <w:szCs w:val="28"/>
        </w:rPr>
        <w:t>–</w:t>
      </w:r>
      <w:r w:rsidRPr="00107F47">
        <w:rPr>
          <w:sz w:val="28"/>
          <w:szCs w:val="28"/>
        </w:rPr>
        <w:tab/>
        <w:t>реализацию  ФГОС, повышение качества образования, внедрение новых образовательных технологий,  электронных учебников, модернизацию дополнительного образования, обновление содержания дополнительных общеразвивающих и предпрофессиональных программ, в том числе для детей с ограниченными возможностями здоровья и детей инвалидов;</w:t>
      </w:r>
    </w:p>
    <w:p w:rsidR="00107F47" w:rsidRPr="00107F47" w:rsidRDefault="00107F47" w:rsidP="00107F47">
      <w:pPr>
        <w:jc w:val="both"/>
        <w:rPr>
          <w:sz w:val="28"/>
          <w:szCs w:val="28"/>
        </w:rPr>
      </w:pPr>
      <w:r w:rsidRPr="00107F47">
        <w:rPr>
          <w:sz w:val="28"/>
          <w:szCs w:val="28"/>
        </w:rPr>
        <w:t>–</w:t>
      </w:r>
      <w:r w:rsidRPr="00107F47">
        <w:rPr>
          <w:sz w:val="28"/>
          <w:szCs w:val="28"/>
        </w:rPr>
        <w:tab/>
        <w:t xml:space="preserve">выполнение показателей «Дорожной карты» в области культуры, спорта и молодёжной политики; </w:t>
      </w:r>
    </w:p>
    <w:p w:rsidR="00107F47" w:rsidRPr="00107F47" w:rsidRDefault="00107F47" w:rsidP="00107F47">
      <w:pPr>
        <w:jc w:val="both"/>
        <w:rPr>
          <w:sz w:val="28"/>
          <w:szCs w:val="28"/>
        </w:rPr>
      </w:pPr>
      <w:r w:rsidRPr="00107F47">
        <w:rPr>
          <w:sz w:val="28"/>
          <w:szCs w:val="28"/>
        </w:rPr>
        <w:t>–</w:t>
      </w:r>
      <w:r w:rsidRPr="00107F47">
        <w:rPr>
          <w:sz w:val="28"/>
          <w:szCs w:val="28"/>
        </w:rPr>
        <w:tab/>
        <w:t>расширение спектра услуг культурной, творческой, библиотечной деятельности, вовлечение населения в занятия физкультурой и спортом,организацию сдачи норм ГТО на территории района;</w:t>
      </w:r>
    </w:p>
    <w:p w:rsidR="00107F47" w:rsidRPr="00107F47" w:rsidRDefault="00107F47" w:rsidP="00107F47">
      <w:pPr>
        <w:jc w:val="both"/>
        <w:rPr>
          <w:sz w:val="28"/>
          <w:szCs w:val="28"/>
        </w:rPr>
      </w:pPr>
      <w:r w:rsidRPr="00107F47">
        <w:rPr>
          <w:sz w:val="28"/>
          <w:szCs w:val="28"/>
        </w:rPr>
        <w:t>–</w:t>
      </w:r>
      <w:r w:rsidRPr="00107F47">
        <w:rPr>
          <w:sz w:val="28"/>
          <w:szCs w:val="28"/>
        </w:rPr>
        <w:tab/>
        <w:t>содействие развитию детских и молодежных объединений в рамках Российского движения школьников;</w:t>
      </w:r>
    </w:p>
    <w:p w:rsidR="00107F47" w:rsidRPr="00107F47" w:rsidRDefault="00107F47" w:rsidP="00107F47">
      <w:pPr>
        <w:jc w:val="both"/>
        <w:rPr>
          <w:sz w:val="28"/>
          <w:szCs w:val="28"/>
        </w:rPr>
      </w:pPr>
      <w:r w:rsidRPr="00107F47">
        <w:rPr>
          <w:sz w:val="28"/>
          <w:szCs w:val="28"/>
        </w:rPr>
        <w:t>–</w:t>
      </w:r>
      <w:r w:rsidRPr="00107F47">
        <w:rPr>
          <w:sz w:val="28"/>
          <w:szCs w:val="28"/>
        </w:rPr>
        <w:tab/>
        <w:t>активизацию добровольческой деятельности в молодёжной среде, внедрение новых форм в работе с подростками «группы риска»;</w:t>
      </w:r>
    </w:p>
    <w:p w:rsidR="00107F47" w:rsidRPr="00107F47" w:rsidRDefault="00107F47" w:rsidP="00107F47">
      <w:pPr>
        <w:jc w:val="both"/>
        <w:rPr>
          <w:sz w:val="28"/>
          <w:szCs w:val="28"/>
        </w:rPr>
      </w:pPr>
      <w:r w:rsidRPr="00107F47">
        <w:rPr>
          <w:sz w:val="28"/>
          <w:szCs w:val="28"/>
        </w:rPr>
        <w:t xml:space="preserve">–  </w:t>
      </w:r>
      <w:r w:rsidRPr="00107F47">
        <w:rPr>
          <w:sz w:val="28"/>
          <w:szCs w:val="28"/>
        </w:rPr>
        <w:tab/>
        <w:t>реализацию на территории муниципального образования мероприятий по профилактике заболеваний и формированию здорового образа жизни;</w:t>
      </w:r>
    </w:p>
    <w:p w:rsidR="00107F47" w:rsidRPr="00107F47" w:rsidRDefault="00107F47" w:rsidP="00107F47">
      <w:pPr>
        <w:jc w:val="both"/>
        <w:rPr>
          <w:sz w:val="28"/>
          <w:szCs w:val="28"/>
        </w:rPr>
      </w:pPr>
      <w:r w:rsidRPr="00107F47">
        <w:rPr>
          <w:sz w:val="28"/>
          <w:szCs w:val="28"/>
        </w:rPr>
        <w:t>–  улучшение качества и доступности медико-санитарной помощи населению;</w:t>
      </w:r>
    </w:p>
    <w:p w:rsidR="00107F47" w:rsidRPr="00107F47" w:rsidRDefault="00107F47" w:rsidP="00107F47">
      <w:pPr>
        <w:jc w:val="both"/>
        <w:rPr>
          <w:sz w:val="28"/>
          <w:szCs w:val="28"/>
        </w:rPr>
      </w:pPr>
      <w:r w:rsidRPr="00107F47">
        <w:rPr>
          <w:sz w:val="28"/>
          <w:szCs w:val="28"/>
        </w:rPr>
        <w:t>–</w:t>
      </w:r>
      <w:r w:rsidRPr="00107F47">
        <w:rPr>
          <w:sz w:val="28"/>
          <w:szCs w:val="28"/>
        </w:rPr>
        <w:tab/>
        <w:t>реализацию Плана мероприятий («дорожная карта») Табунского района по повышению значений показателей доступности для инвалидов объектов и услуг в разных сферах;</w:t>
      </w:r>
    </w:p>
    <w:p w:rsidR="00107F47" w:rsidRPr="00107F47" w:rsidRDefault="00107F47" w:rsidP="00107F47">
      <w:pPr>
        <w:jc w:val="both"/>
        <w:rPr>
          <w:sz w:val="28"/>
          <w:szCs w:val="28"/>
        </w:rPr>
      </w:pPr>
      <w:r w:rsidRPr="00107F47">
        <w:rPr>
          <w:sz w:val="28"/>
          <w:szCs w:val="28"/>
        </w:rPr>
        <w:t>–</w:t>
      </w:r>
      <w:r w:rsidRPr="00107F47">
        <w:rPr>
          <w:sz w:val="28"/>
          <w:szCs w:val="28"/>
        </w:rPr>
        <w:tab/>
        <w:t>повышение благостояния населения и снижение бедности, повышение качества и доступности социального обслуживания населения.</w:t>
      </w:r>
    </w:p>
    <w:p w:rsidR="00107F47" w:rsidRPr="00107F47" w:rsidRDefault="00107F47" w:rsidP="00107F47">
      <w:pPr>
        <w:jc w:val="both"/>
        <w:rPr>
          <w:sz w:val="28"/>
          <w:szCs w:val="28"/>
        </w:rPr>
      </w:pPr>
    </w:p>
    <w:p w:rsidR="00107F47" w:rsidRPr="00107F47" w:rsidRDefault="00107F47" w:rsidP="00107F47">
      <w:pPr>
        <w:jc w:val="both"/>
        <w:rPr>
          <w:sz w:val="28"/>
          <w:szCs w:val="28"/>
        </w:rPr>
      </w:pPr>
      <w:r w:rsidRPr="00107F47">
        <w:rPr>
          <w:sz w:val="28"/>
          <w:szCs w:val="28"/>
        </w:rPr>
        <w:t>3.</w:t>
      </w:r>
      <w:r w:rsidRPr="00107F47">
        <w:rPr>
          <w:sz w:val="28"/>
          <w:szCs w:val="28"/>
        </w:rPr>
        <w:tab/>
        <w:t>Поручить администрации района обобщить критические замечания и предложения, высказанные на сессии районного Совета депутатов, разработать мероприятия по их реализации, до 01.07.2017 года информировать о ходе их выполнения.</w:t>
      </w:r>
    </w:p>
    <w:p w:rsidR="00107F47" w:rsidRPr="00107F47" w:rsidRDefault="00107F47" w:rsidP="00107F47">
      <w:pPr>
        <w:jc w:val="both"/>
        <w:rPr>
          <w:sz w:val="28"/>
          <w:szCs w:val="28"/>
        </w:rPr>
      </w:pPr>
    </w:p>
    <w:p w:rsidR="00107F47" w:rsidRPr="00107F47" w:rsidRDefault="00107F47" w:rsidP="00107F47">
      <w:pPr>
        <w:jc w:val="both"/>
        <w:rPr>
          <w:sz w:val="28"/>
          <w:szCs w:val="28"/>
        </w:rPr>
      </w:pPr>
      <w:r w:rsidRPr="00107F47">
        <w:rPr>
          <w:sz w:val="28"/>
          <w:szCs w:val="28"/>
        </w:rPr>
        <w:t>4.</w:t>
      </w:r>
      <w:r w:rsidRPr="00107F47">
        <w:rPr>
          <w:sz w:val="28"/>
          <w:szCs w:val="28"/>
        </w:rPr>
        <w:tab/>
        <w:t>Контроль за выполнением настоящего решения возложить на постоянные комиссии районного Совета депутатов.</w:t>
      </w:r>
    </w:p>
    <w:p w:rsidR="00830E27" w:rsidRPr="001344D2" w:rsidRDefault="00830E27" w:rsidP="00107F47">
      <w:pPr>
        <w:jc w:val="both"/>
        <w:rPr>
          <w:sz w:val="28"/>
          <w:szCs w:val="28"/>
        </w:rPr>
      </w:pPr>
    </w:p>
    <w:p w:rsidR="00830E27" w:rsidRPr="001344D2" w:rsidRDefault="00830E27">
      <w:pPr>
        <w:jc w:val="both"/>
        <w:rPr>
          <w:sz w:val="28"/>
          <w:szCs w:val="28"/>
        </w:rPr>
      </w:pPr>
    </w:p>
    <w:p w:rsidR="00284AD6" w:rsidRPr="001344D2" w:rsidRDefault="00284AD6">
      <w:pPr>
        <w:jc w:val="both"/>
        <w:rPr>
          <w:sz w:val="28"/>
          <w:szCs w:val="28"/>
        </w:rPr>
      </w:pPr>
    </w:p>
    <w:tbl>
      <w:tblPr>
        <w:tblW w:w="0" w:type="auto"/>
        <w:tblLook w:val="04A0" w:firstRow="1" w:lastRow="0" w:firstColumn="1" w:lastColumn="0" w:noHBand="0" w:noVBand="1"/>
      </w:tblPr>
      <w:tblGrid>
        <w:gridCol w:w="4143"/>
        <w:gridCol w:w="4927"/>
      </w:tblGrid>
      <w:tr w:rsidR="00284AD6" w:rsidRPr="001344D2" w:rsidTr="00985BCE">
        <w:tc>
          <w:tcPr>
            <w:tcW w:w="4361" w:type="dxa"/>
          </w:tcPr>
          <w:p w:rsidR="00284AD6" w:rsidRPr="001344D2" w:rsidRDefault="00107F47" w:rsidP="0072203C">
            <w:pPr>
              <w:rPr>
                <w:sz w:val="28"/>
                <w:szCs w:val="28"/>
              </w:rPr>
            </w:pPr>
            <w:r w:rsidRPr="00107F47">
              <w:rPr>
                <w:sz w:val="28"/>
                <w:szCs w:val="28"/>
              </w:rPr>
              <w:t>Глава района</w:t>
            </w:r>
          </w:p>
        </w:tc>
        <w:tc>
          <w:tcPr>
            <w:tcW w:w="5209" w:type="dxa"/>
            <w:vAlign w:val="bottom"/>
          </w:tcPr>
          <w:p w:rsidR="00284AD6" w:rsidRPr="001344D2" w:rsidRDefault="002109D9" w:rsidP="00837B78">
            <w:pPr>
              <w:jc w:val="right"/>
              <w:rPr>
                <w:sz w:val="28"/>
                <w:szCs w:val="28"/>
              </w:rPr>
            </w:pPr>
            <w:r>
              <w:rPr>
                <w:sz w:val="28"/>
                <w:szCs w:val="28"/>
              </w:rPr>
              <w:t>Н.В. Чайка</w:t>
            </w:r>
          </w:p>
        </w:tc>
      </w:tr>
    </w:tbl>
    <w:p w:rsidR="00830E27" w:rsidRPr="001344D2" w:rsidRDefault="00830E27" w:rsidP="001344D2">
      <w:pPr>
        <w:jc w:val="both"/>
        <w:rPr>
          <w:sz w:val="2"/>
          <w:szCs w:val="2"/>
        </w:rPr>
      </w:pPr>
    </w:p>
    <w:sectPr w:rsidR="00830E27" w:rsidRPr="001344D2" w:rsidSect="004B2165">
      <w:pgSz w:w="11906" w:h="16838"/>
      <w:pgMar w:top="1134" w:right="851" w:bottom="1134" w:left="1985"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3F3C24"/>
    <w:multiLevelType w:val="hybridMultilevel"/>
    <w:tmpl w:val="03541C9C"/>
    <w:lvl w:ilvl="0" w:tplc="40149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3685A"/>
    <w:multiLevelType w:val="hybridMultilevel"/>
    <w:tmpl w:val="0EB0F170"/>
    <w:lvl w:ilvl="0">
      <w:start w:val="1"/>
      <w:numFmt w:val="decimal"/>
      <w:lvlText w:val="%1."/>
      <w:lvlJc w:val="left"/>
      <w:pPr>
        <w:tabs>
          <w:tab w:val="num" w:pos="360"/>
        </w:tabs>
        <w:ind w:left="0" w:firstLine="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752E27"/>
    <w:multiLevelType w:val="hybridMultilevel"/>
    <w:tmpl w:val="6F22005E"/>
    <w:lvl w:ilvl="0">
      <w:start w:val="1"/>
      <w:numFmt w:val="decimal"/>
      <w:lvlText w:val="%1."/>
      <w:lvlJc w:val="left"/>
      <w:pPr>
        <w:tabs>
          <w:tab w:val="num" w:pos="720"/>
        </w:tabs>
        <w:ind w:left="720" w:hanging="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85008FE"/>
    <w:multiLevelType w:val="hybridMultilevel"/>
    <w:tmpl w:val="6616BBF0"/>
    <w:lvl w:ilvl="0" w:tplc="40149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E63B98"/>
    <w:multiLevelType w:val="hybridMultilevel"/>
    <w:tmpl w:val="03400836"/>
    <w:lvl w:ilvl="0" w:tplc="40149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8C04BC"/>
    <w:multiLevelType w:val="hybridMultilevel"/>
    <w:tmpl w:val="962476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6856010E"/>
    <w:multiLevelType w:val="hybridMultilevel"/>
    <w:tmpl w:val="2B44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2A7F"/>
    <w:rsid w:val="0000422C"/>
    <w:rsid w:val="0000702B"/>
    <w:rsid w:val="00012C31"/>
    <w:rsid w:val="00023760"/>
    <w:rsid w:val="00035860"/>
    <w:rsid w:val="000450D0"/>
    <w:rsid w:val="00046A87"/>
    <w:rsid w:val="00053B37"/>
    <w:rsid w:val="00066112"/>
    <w:rsid w:val="0006703F"/>
    <w:rsid w:val="000749C7"/>
    <w:rsid w:val="000774B9"/>
    <w:rsid w:val="00084783"/>
    <w:rsid w:val="00090B29"/>
    <w:rsid w:val="000A64BE"/>
    <w:rsid w:val="000B1B83"/>
    <w:rsid w:val="000C673E"/>
    <w:rsid w:val="000F0D84"/>
    <w:rsid w:val="001079E7"/>
    <w:rsid w:val="00107F47"/>
    <w:rsid w:val="001269FB"/>
    <w:rsid w:val="001344D2"/>
    <w:rsid w:val="00142F1D"/>
    <w:rsid w:val="00144008"/>
    <w:rsid w:val="00164990"/>
    <w:rsid w:val="001751BB"/>
    <w:rsid w:val="00181918"/>
    <w:rsid w:val="00182F07"/>
    <w:rsid w:val="00185409"/>
    <w:rsid w:val="0019229C"/>
    <w:rsid w:val="00192A40"/>
    <w:rsid w:val="00197B03"/>
    <w:rsid w:val="001A1C5F"/>
    <w:rsid w:val="001A7A12"/>
    <w:rsid w:val="001B3AA7"/>
    <w:rsid w:val="001C2B3C"/>
    <w:rsid w:val="001C2D71"/>
    <w:rsid w:val="001C44FB"/>
    <w:rsid w:val="001D1AFB"/>
    <w:rsid w:val="001E3C29"/>
    <w:rsid w:val="001E4D1A"/>
    <w:rsid w:val="00200902"/>
    <w:rsid w:val="00206EDF"/>
    <w:rsid w:val="002109D9"/>
    <w:rsid w:val="00221D24"/>
    <w:rsid w:val="002268BD"/>
    <w:rsid w:val="0023071F"/>
    <w:rsid w:val="00232F61"/>
    <w:rsid w:val="0023386D"/>
    <w:rsid w:val="00235660"/>
    <w:rsid w:val="00246CAF"/>
    <w:rsid w:val="00250FD4"/>
    <w:rsid w:val="002577EA"/>
    <w:rsid w:val="00273FF1"/>
    <w:rsid w:val="00284AD6"/>
    <w:rsid w:val="002A36EE"/>
    <w:rsid w:val="002A548A"/>
    <w:rsid w:val="002A6B43"/>
    <w:rsid w:val="002B2595"/>
    <w:rsid w:val="002C147B"/>
    <w:rsid w:val="002D26CE"/>
    <w:rsid w:val="002E7086"/>
    <w:rsid w:val="002E77A5"/>
    <w:rsid w:val="002F2358"/>
    <w:rsid w:val="00311C06"/>
    <w:rsid w:val="0031743C"/>
    <w:rsid w:val="00324138"/>
    <w:rsid w:val="00324626"/>
    <w:rsid w:val="00332675"/>
    <w:rsid w:val="003354AD"/>
    <w:rsid w:val="00340AD3"/>
    <w:rsid w:val="003419DD"/>
    <w:rsid w:val="00341E0F"/>
    <w:rsid w:val="0035107F"/>
    <w:rsid w:val="003542F2"/>
    <w:rsid w:val="00356A44"/>
    <w:rsid w:val="003609B6"/>
    <w:rsid w:val="00366CFE"/>
    <w:rsid w:val="0037011A"/>
    <w:rsid w:val="003701F2"/>
    <w:rsid w:val="00380555"/>
    <w:rsid w:val="00380B0B"/>
    <w:rsid w:val="00382D4A"/>
    <w:rsid w:val="003851CE"/>
    <w:rsid w:val="00385A4D"/>
    <w:rsid w:val="003914E6"/>
    <w:rsid w:val="003945D6"/>
    <w:rsid w:val="00394DAD"/>
    <w:rsid w:val="003A6007"/>
    <w:rsid w:val="003B10F7"/>
    <w:rsid w:val="003D2F26"/>
    <w:rsid w:val="003D6DA4"/>
    <w:rsid w:val="003D7FA7"/>
    <w:rsid w:val="003E18EC"/>
    <w:rsid w:val="003E351B"/>
    <w:rsid w:val="003E69D3"/>
    <w:rsid w:val="00403C3B"/>
    <w:rsid w:val="00403FC6"/>
    <w:rsid w:val="004051D5"/>
    <w:rsid w:val="00415CD4"/>
    <w:rsid w:val="00417F50"/>
    <w:rsid w:val="004218D3"/>
    <w:rsid w:val="00427116"/>
    <w:rsid w:val="004311A4"/>
    <w:rsid w:val="00433DA9"/>
    <w:rsid w:val="00434DA7"/>
    <w:rsid w:val="0045481E"/>
    <w:rsid w:val="00460CFC"/>
    <w:rsid w:val="00472138"/>
    <w:rsid w:val="004837F6"/>
    <w:rsid w:val="004858AE"/>
    <w:rsid w:val="00486252"/>
    <w:rsid w:val="00492DF4"/>
    <w:rsid w:val="004B2165"/>
    <w:rsid w:val="004B5080"/>
    <w:rsid w:val="004C188F"/>
    <w:rsid w:val="004C1B4C"/>
    <w:rsid w:val="004C6FEE"/>
    <w:rsid w:val="004C7675"/>
    <w:rsid w:val="004D1F56"/>
    <w:rsid w:val="004D34A0"/>
    <w:rsid w:val="004E1563"/>
    <w:rsid w:val="004E36F6"/>
    <w:rsid w:val="004E6D42"/>
    <w:rsid w:val="004F0ADF"/>
    <w:rsid w:val="005038E0"/>
    <w:rsid w:val="005143A1"/>
    <w:rsid w:val="005263FA"/>
    <w:rsid w:val="00527D04"/>
    <w:rsid w:val="005329E4"/>
    <w:rsid w:val="00543B6D"/>
    <w:rsid w:val="005441C7"/>
    <w:rsid w:val="005531CB"/>
    <w:rsid w:val="00555885"/>
    <w:rsid w:val="00556A35"/>
    <w:rsid w:val="00557D57"/>
    <w:rsid w:val="00573557"/>
    <w:rsid w:val="00573B66"/>
    <w:rsid w:val="00576E9C"/>
    <w:rsid w:val="00581ECA"/>
    <w:rsid w:val="00583B34"/>
    <w:rsid w:val="005929D1"/>
    <w:rsid w:val="00593AFE"/>
    <w:rsid w:val="00594196"/>
    <w:rsid w:val="005B1020"/>
    <w:rsid w:val="005B4D09"/>
    <w:rsid w:val="005D145D"/>
    <w:rsid w:val="005F792A"/>
    <w:rsid w:val="00601280"/>
    <w:rsid w:val="00612618"/>
    <w:rsid w:val="0061413D"/>
    <w:rsid w:val="00626CC9"/>
    <w:rsid w:val="00632F38"/>
    <w:rsid w:val="006340CB"/>
    <w:rsid w:val="00647710"/>
    <w:rsid w:val="00654DE1"/>
    <w:rsid w:val="00655B0D"/>
    <w:rsid w:val="00674E66"/>
    <w:rsid w:val="00684B37"/>
    <w:rsid w:val="00687E48"/>
    <w:rsid w:val="0069525F"/>
    <w:rsid w:val="006C3D73"/>
    <w:rsid w:val="006C6AF6"/>
    <w:rsid w:val="006D0520"/>
    <w:rsid w:val="00702B16"/>
    <w:rsid w:val="00711294"/>
    <w:rsid w:val="00711C38"/>
    <w:rsid w:val="00711F50"/>
    <w:rsid w:val="00714A48"/>
    <w:rsid w:val="0072203C"/>
    <w:rsid w:val="00723D3B"/>
    <w:rsid w:val="00740450"/>
    <w:rsid w:val="007448CF"/>
    <w:rsid w:val="00747507"/>
    <w:rsid w:val="007537AD"/>
    <w:rsid w:val="007567E9"/>
    <w:rsid w:val="007758BF"/>
    <w:rsid w:val="0079231C"/>
    <w:rsid w:val="007944D7"/>
    <w:rsid w:val="00794835"/>
    <w:rsid w:val="00796DEA"/>
    <w:rsid w:val="00797243"/>
    <w:rsid w:val="007979DC"/>
    <w:rsid w:val="007B259B"/>
    <w:rsid w:val="007B7825"/>
    <w:rsid w:val="007B7D20"/>
    <w:rsid w:val="007C0731"/>
    <w:rsid w:val="007C1142"/>
    <w:rsid w:val="007C5BDB"/>
    <w:rsid w:val="007D1AD9"/>
    <w:rsid w:val="007D7B81"/>
    <w:rsid w:val="007E59EF"/>
    <w:rsid w:val="007F5DE1"/>
    <w:rsid w:val="0080060D"/>
    <w:rsid w:val="00800640"/>
    <w:rsid w:val="00830E27"/>
    <w:rsid w:val="008310D5"/>
    <w:rsid w:val="0083488D"/>
    <w:rsid w:val="00837B78"/>
    <w:rsid w:val="008712EA"/>
    <w:rsid w:val="00887F34"/>
    <w:rsid w:val="00896D22"/>
    <w:rsid w:val="008A512F"/>
    <w:rsid w:val="008B5200"/>
    <w:rsid w:val="008C21AB"/>
    <w:rsid w:val="008C49C3"/>
    <w:rsid w:val="008D3ED1"/>
    <w:rsid w:val="008E0402"/>
    <w:rsid w:val="008E2204"/>
    <w:rsid w:val="008E5D45"/>
    <w:rsid w:val="008F3D25"/>
    <w:rsid w:val="00901BC6"/>
    <w:rsid w:val="00902C49"/>
    <w:rsid w:val="00907A03"/>
    <w:rsid w:val="00910FFB"/>
    <w:rsid w:val="00931518"/>
    <w:rsid w:val="00931B1E"/>
    <w:rsid w:val="00936A72"/>
    <w:rsid w:val="0096188A"/>
    <w:rsid w:val="00961B61"/>
    <w:rsid w:val="00962789"/>
    <w:rsid w:val="0097457C"/>
    <w:rsid w:val="00985BCE"/>
    <w:rsid w:val="00985BD2"/>
    <w:rsid w:val="0098601D"/>
    <w:rsid w:val="00992648"/>
    <w:rsid w:val="009A3EEF"/>
    <w:rsid w:val="009B02A6"/>
    <w:rsid w:val="009B1598"/>
    <w:rsid w:val="009C7747"/>
    <w:rsid w:val="009D26B3"/>
    <w:rsid w:val="009E6DF3"/>
    <w:rsid w:val="00A015F4"/>
    <w:rsid w:val="00A1089F"/>
    <w:rsid w:val="00A12748"/>
    <w:rsid w:val="00A20149"/>
    <w:rsid w:val="00A32037"/>
    <w:rsid w:val="00A502C6"/>
    <w:rsid w:val="00A57E57"/>
    <w:rsid w:val="00A66E90"/>
    <w:rsid w:val="00A77BD4"/>
    <w:rsid w:val="00A84829"/>
    <w:rsid w:val="00A86380"/>
    <w:rsid w:val="00A86FF9"/>
    <w:rsid w:val="00A9543F"/>
    <w:rsid w:val="00A963D0"/>
    <w:rsid w:val="00AA2722"/>
    <w:rsid w:val="00AB579A"/>
    <w:rsid w:val="00AC4BC8"/>
    <w:rsid w:val="00AD1470"/>
    <w:rsid w:val="00AD3C72"/>
    <w:rsid w:val="00AF2A8F"/>
    <w:rsid w:val="00B00787"/>
    <w:rsid w:val="00B26421"/>
    <w:rsid w:val="00B37536"/>
    <w:rsid w:val="00B43B8F"/>
    <w:rsid w:val="00B43D67"/>
    <w:rsid w:val="00B52D46"/>
    <w:rsid w:val="00B63F67"/>
    <w:rsid w:val="00B73FFA"/>
    <w:rsid w:val="00B834A9"/>
    <w:rsid w:val="00B83D72"/>
    <w:rsid w:val="00B86CF8"/>
    <w:rsid w:val="00B918EC"/>
    <w:rsid w:val="00B96EE5"/>
    <w:rsid w:val="00BA6DF3"/>
    <w:rsid w:val="00BB119B"/>
    <w:rsid w:val="00BD0264"/>
    <w:rsid w:val="00BD3572"/>
    <w:rsid w:val="00BE2B02"/>
    <w:rsid w:val="00BE5DF6"/>
    <w:rsid w:val="00BE7909"/>
    <w:rsid w:val="00BF2A56"/>
    <w:rsid w:val="00BF57AC"/>
    <w:rsid w:val="00BF7F12"/>
    <w:rsid w:val="00C02EB1"/>
    <w:rsid w:val="00C10750"/>
    <w:rsid w:val="00C1346A"/>
    <w:rsid w:val="00C24843"/>
    <w:rsid w:val="00C33873"/>
    <w:rsid w:val="00C34F3D"/>
    <w:rsid w:val="00C41474"/>
    <w:rsid w:val="00C5201D"/>
    <w:rsid w:val="00C6691A"/>
    <w:rsid w:val="00C75919"/>
    <w:rsid w:val="00C80955"/>
    <w:rsid w:val="00C879D9"/>
    <w:rsid w:val="00C948C0"/>
    <w:rsid w:val="00CA09A0"/>
    <w:rsid w:val="00CC44DA"/>
    <w:rsid w:val="00CC4F1D"/>
    <w:rsid w:val="00CD015C"/>
    <w:rsid w:val="00CD0F03"/>
    <w:rsid w:val="00CD35EF"/>
    <w:rsid w:val="00CD4B11"/>
    <w:rsid w:val="00CD7CB4"/>
    <w:rsid w:val="00CF2581"/>
    <w:rsid w:val="00CF7BAA"/>
    <w:rsid w:val="00D02648"/>
    <w:rsid w:val="00D0589E"/>
    <w:rsid w:val="00D14805"/>
    <w:rsid w:val="00D32960"/>
    <w:rsid w:val="00D431A3"/>
    <w:rsid w:val="00D70D9A"/>
    <w:rsid w:val="00D75C0E"/>
    <w:rsid w:val="00D8032D"/>
    <w:rsid w:val="00D828D3"/>
    <w:rsid w:val="00D84175"/>
    <w:rsid w:val="00D84D2E"/>
    <w:rsid w:val="00D84E11"/>
    <w:rsid w:val="00D85BAC"/>
    <w:rsid w:val="00D97772"/>
    <w:rsid w:val="00DA5120"/>
    <w:rsid w:val="00DB1473"/>
    <w:rsid w:val="00DB57E1"/>
    <w:rsid w:val="00DC54E4"/>
    <w:rsid w:val="00DC69C6"/>
    <w:rsid w:val="00DF1247"/>
    <w:rsid w:val="00E018C5"/>
    <w:rsid w:val="00E01ECB"/>
    <w:rsid w:val="00E24AD9"/>
    <w:rsid w:val="00E266EE"/>
    <w:rsid w:val="00E33540"/>
    <w:rsid w:val="00E651B4"/>
    <w:rsid w:val="00EB4AD5"/>
    <w:rsid w:val="00EB671C"/>
    <w:rsid w:val="00EB7EF1"/>
    <w:rsid w:val="00ED138A"/>
    <w:rsid w:val="00EE008D"/>
    <w:rsid w:val="00EE01EA"/>
    <w:rsid w:val="00EE1C55"/>
    <w:rsid w:val="00EE1F55"/>
    <w:rsid w:val="00EE539A"/>
    <w:rsid w:val="00EF603E"/>
    <w:rsid w:val="00EF68DD"/>
    <w:rsid w:val="00EF713F"/>
    <w:rsid w:val="00F15628"/>
    <w:rsid w:val="00F23250"/>
    <w:rsid w:val="00F44110"/>
    <w:rsid w:val="00F537D7"/>
    <w:rsid w:val="00F54CD2"/>
    <w:rsid w:val="00F550F6"/>
    <w:rsid w:val="00F577B5"/>
    <w:rsid w:val="00F6633F"/>
    <w:rsid w:val="00F67035"/>
    <w:rsid w:val="00F7455E"/>
    <w:rsid w:val="00F74F12"/>
    <w:rsid w:val="00F80AC5"/>
    <w:rsid w:val="00F8273C"/>
    <w:rsid w:val="00F83B7D"/>
    <w:rsid w:val="00F91E66"/>
    <w:rsid w:val="00F92510"/>
    <w:rsid w:val="00FC6222"/>
    <w:rsid w:val="00FD3331"/>
    <w:rsid w:val="00FD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C9AAAD-BE3F-459A-8711-22A42118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rPr>
  </w:style>
  <w:style w:type="paragraph" w:styleId="a4">
    <w:name w:val="Subtitle"/>
    <w:basedOn w:val="a"/>
    <w:qFormat/>
    <w:pPr>
      <w:jc w:val="center"/>
    </w:pPr>
    <w:rPr>
      <w:sz w:val="26"/>
    </w:rPr>
  </w:style>
  <w:style w:type="paragraph" w:styleId="a5">
    <w:name w:val="Body Text Indent"/>
    <w:basedOn w:val="a"/>
    <w:semiHidden/>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pPr>
      <w:jc w:val="both"/>
    </w:pPr>
    <w:rPr>
      <w:sz w:val="24"/>
      <w:szCs w:val="24"/>
    </w:rPr>
  </w:style>
  <w:style w:type="paragraph" w:styleId="a8">
    <w:name w:val="Balloon Text"/>
    <w:basedOn w:val="a"/>
    <w:link w:val="a9"/>
    <w:uiPriority w:val="99"/>
    <w:semiHidden/>
    <w:unhideWhenUsed/>
    <w:rsid w:val="00185409"/>
    <w:rPr>
      <w:rFonts w:ascii="Tahoma" w:hAnsi="Tahoma" w:cs="Tahoma"/>
      <w:sz w:val="16"/>
      <w:szCs w:val="16"/>
    </w:rPr>
  </w:style>
  <w:style w:type="character" w:customStyle="1" w:styleId="a9">
    <w:name w:val="Текст выноски Знак"/>
    <w:link w:val="a8"/>
    <w:uiPriority w:val="99"/>
    <w:semiHidden/>
    <w:rsid w:val="00185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7B96-6D57-473E-B967-9A8C8E74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2</cp:revision>
  <cp:lastPrinted>2017-04-03T02:47:00Z</cp:lastPrinted>
  <dcterms:created xsi:type="dcterms:W3CDTF">2017-04-03T04:14:00Z</dcterms:created>
  <dcterms:modified xsi:type="dcterms:W3CDTF">2017-04-03T04:14:00Z</dcterms:modified>
</cp:coreProperties>
</file>