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42" w:rsidRPr="004E6D42" w:rsidRDefault="004E6D42" w:rsidP="00385A4D">
      <w:pPr>
        <w:pStyle w:val="a5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5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5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DB6482">
        <w:rPr>
          <w:noProof/>
          <w:sz w:val="28"/>
          <w:szCs w:val="28"/>
        </w:rPr>
        <w:t>девятнадцатая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DB6482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7D3B54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D3B54">
              <w:rPr>
                <w:rFonts w:ascii="Arial" w:hAnsi="Arial" w:cs="Arial"/>
                <w:noProof/>
                <w:sz w:val="24"/>
                <w:szCs w:val="24"/>
              </w:rPr>
              <w:t>28.07.2016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7D3B54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D3B54">
              <w:rPr>
                <w:rFonts w:ascii="Arial" w:hAnsi="Arial" w:cs="Arial"/>
                <w:noProof/>
                <w:sz w:val="24"/>
                <w:szCs w:val="24"/>
              </w:rPr>
              <w:t>17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284"/>
        <w:gridCol w:w="4386"/>
      </w:tblGrid>
      <w:tr w:rsidR="00B83D72" w:rsidRPr="00B83D72" w:rsidTr="00DB648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DB6482">
        <w:tc>
          <w:tcPr>
            <w:tcW w:w="4967" w:type="dxa"/>
            <w:gridSpan w:val="3"/>
          </w:tcPr>
          <w:p w:rsidR="00F92510" w:rsidRPr="00B83D72" w:rsidRDefault="009612D5" w:rsidP="00DB6482">
            <w:pPr>
              <w:jc w:val="both"/>
              <w:rPr>
                <w:sz w:val="28"/>
                <w:szCs w:val="28"/>
              </w:rPr>
            </w:pPr>
            <w:r w:rsidRPr="009612D5">
              <w:rPr>
                <w:sz w:val="28"/>
                <w:szCs w:val="28"/>
              </w:rPr>
              <w:t xml:space="preserve">Об утверждении Порядка организации и осуществления приема граждан депутатами </w:t>
            </w:r>
            <w:proofErr w:type="spellStart"/>
            <w:r w:rsidRPr="009612D5">
              <w:rPr>
                <w:sz w:val="28"/>
                <w:szCs w:val="28"/>
              </w:rPr>
              <w:t>Табунского</w:t>
            </w:r>
            <w:proofErr w:type="spellEnd"/>
            <w:r w:rsidRPr="009612D5">
              <w:rPr>
                <w:sz w:val="28"/>
                <w:szCs w:val="28"/>
              </w:rPr>
              <w:t xml:space="preserve"> районного Совета депутатов Алтайского края</w:t>
            </w:r>
          </w:p>
        </w:tc>
        <w:tc>
          <w:tcPr>
            <w:tcW w:w="4392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DB6482" w:rsidP="0023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A5091">
        <w:rPr>
          <w:sz w:val="28"/>
          <w:szCs w:val="28"/>
        </w:rPr>
        <w:t>о ст.</w:t>
      </w:r>
      <w:proofErr w:type="gramStart"/>
      <w:r w:rsidR="001A5091">
        <w:rPr>
          <w:sz w:val="28"/>
          <w:szCs w:val="28"/>
        </w:rPr>
        <w:t>30  Устава</w:t>
      </w:r>
      <w:proofErr w:type="gramEnd"/>
      <w:r w:rsidR="001A5091">
        <w:rPr>
          <w:sz w:val="28"/>
          <w:szCs w:val="28"/>
        </w:rPr>
        <w:t xml:space="preserve"> муниципального образования Табунский район Алтайского края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9612D5" w:rsidRPr="009612D5" w:rsidRDefault="00A55658" w:rsidP="009612D5">
      <w:pPr>
        <w:jc w:val="both"/>
        <w:rPr>
          <w:sz w:val="28"/>
          <w:szCs w:val="28"/>
        </w:rPr>
      </w:pPr>
      <w:bookmarkStart w:id="4" w:name="ПолеСоСписком1"/>
      <w:r>
        <w:rPr>
          <w:sz w:val="28"/>
          <w:szCs w:val="28"/>
        </w:rPr>
        <w:t>1.</w:t>
      </w:r>
      <w:r w:rsidR="00830E27"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="00830E27"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="00830E27" w:rsidRPr="001344D2"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Утвердить</w:t>
      </w:r>
      <w:r w:rsidR="00830E27" w:rsidRPr="001344D2">
        <w:rPr>
          <w:sz w:val="28"/>
          <w:szCs w:val="28"/>
        </w:rPr>
        <w:tab/>
      </w:r>
      <w:r w:rsidR="009612D5" w:rsidRPr="009612D5">
        <w:rPr>
          <w:sz w:val="28"/>
          <w:szCs w:val="28"/>
        </w:rPr>
        <w:t xml:space="preserve">Порядок организации и осуществления приема граждан депутатами </w:t>
      </w:r>
      <w:proofErr w:type="spellStart"/>
      <w:r w:rsidR="009612D5" w:rsidRPr="009612D5">
        <w:rPr>
          <w:sz w:val="28"/>
          <w:szCs w:val="28"/>
        </w:rPr>
        <w:t>Табунского</w:t>
      </w:r>
      <w:proofErr w:type="spellEnd"/>
      <w:r w:rsidR="009612D5" w:rsidRPr="009612D5">
        <w:rPr>
          <w:sz w:val="28"/>
          <w:szCs w:val="28"/>
        </w:rPr>
        <w:t xml:space="preserve"> районного Совета депутатов Алтайского края (прилагается).</w:t>
      </w:r>
    </w:p>
    <w:p w:rsidR="009612D5" w:rsidRPr="009612D5" w:rsidRDefault="009612D5" w:rsidP="009612D5">
      <w:pPr>
        <w:jc w:val="both"/>
        <w:rPr>
          <w:sz w:val="28"/>
          <w:szCs w:val="28"/>
        </w:rPr>
      </w:pPr>
      <w:r w:rsidRPr="009612D5">
        <w:rPr>
          <w:sz w:val="28"/>
          <w:szCs w:val="28"/>
        </w:rPr>
        <w:t xml:space="preserve">2. </w:t>
      </w:r>
      <w:r w:rsidRPr="009612D5">
        <w:rPr>
          <w:sz w:val="28"/>
          <w:szCs w:val="28"/>
        </w:rPr>
        <w:tab/>
        <w:t xml:space="preserve">Обнародовать настоящее решение на официальном сайте администрации </w:t>
      </w:r>
      <w:proofErr w:type="spellStart"/>
      <w:r w:rsidRPr="009612D5">
        <w:rPr>
          <w:sz w:val="28"/>
          <w:szCs w:val="28"/>
        </w:rPr>
        <w:t>Табунского</w:t>
      </w:r>
      <w:proofErr w:type="spellEnd"/>
      <w:r w:rsidRPr="009612D5">
        <w:rPr>
          <w:sz w:val="28"/>
          <w:szCs w:val="28"/>
        </w:rPr>
        <w:t xml:space="preserve"> района Алтайского края. </w:t>
      </w:r>
    </w:p>
    <w:p w:rsidR="00830E27" w:rsidRPr="001344D2" w:rsidRDefault="009612D5" w:rsidP="009612D5">
      <w:pPr>
        <w:jc w:val="both"/>
        <w:rPr>
          <w:sz w:val="28"/>
          <w:szCs w:val="28"/>
        </w:rPr>
      </w:pPr>
      <w:r w:rsidRPr="009612D5">
        <w:rPr>
          <w:sz w:val="28"/>
          <w:szCs w:val="28"/>
        </w:rPr>
        <w:t xml:space="preserve">     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9612D5" w:rsidP="002109D9">
            <w:pPr>
              <w:rPr>
                <w:sz w:val="28"/>
                <w:szCs w:val="28"/>
              </w:rPr>
            </w:pPr>
            <w:r w:rsidRPr="009612D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Default="00830E27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1344D2">
      <w:pPr>
        <w:jc w:val="both"/>
        <w:rPr>
          <w:sz w:val="24"/>
          <w:szCs w:val="24"/>
        </w:rPr>
      </w:pPr>
    </w:p>
    <w:p w:rsidR="00E76169" w:rsidRDefault="00E76169" w:rsidP="00E76169">
      <w:pPr>
        <w:tabs>
          <w:tab w:val="left" w:pos="5604"/>
        </w:tabs>
        <w:jc w:val="both"/>
      </w:pPr>
      <w:r>
        <w:lastRenderedPageBreak/>
        <w:tab/>
      </w:r>
      <w:r>
        <w:tab/>
      </w:r>
      <w:r>
        <w:tab/>
      </w:r>
      <w:r w:rsidRPr="00E76169">
        <w:t xml:space="preserve">Приложение к решению </w:t>
      </w:r>
      <w:r>
        <w:tab/>
      </w:r>
      <w:r>
        <w:tab/>
      </w:r>
      <w:r>
        <w:tab/>
      </w:r>
      <w:r>
        <w:tab/>
      </w:r>
      <w:r w:rsidRPr="00E76169">
        <w:t xml:space="preserve">районного Совета депутатов </w:t>
      </w:r>
    </w:p>
    <w:p w:rsidR="00E76169" w:rsidRPr="00E76169" w:rsidRDefault="00E76169" w:rsidP="00E76169">
      <w:pPr>
        <w:tabs>
          <w:tab w:val="left" w:pos="5604"/>
        </w:tabs>
        <w:jc w:val="both"/>
      </w:pPr>
      <w:r>
        <w:tab/>
      </w:r>
      <w:r>
        <w:tab/>
      </w:r>
      <w:r>
        <w:tab/>
      </w:r>
      <w:r w:rsidR="009612D5" w:rsidRPr="00E76169">
        <w:t>О</w:t>
      </w:r>
      <w:r w:rsidRPr="00E76169">
        <w:t>т</w:t>
      </w:r>
      <w:r w:rsidR="009612D5">
        <w:t xml:space="preserve"> 28.07.2016</w:t>
      </w:r>
      <w:r w:rsidRPr="00E76169">
        <w:t xml:space="preserve">  №</w:t>
      </w:r>
      <w:r w:rsidR="009612D5">
        <w:t>17</w:t>
      </w:r>
      <w:bookmarkStart w:id="5" w:name="_GoBack"/>
      <w:bookmarkEnd w:id="5"/>
    </w:p>
    <w:p w:rsidR="00E76169" w:rsidRDefault="00E76169" w:rsidP="00E76169">
      <w:pPr>
        <w:tabs>
          <w:tab w:val="left" w:pos="5604"/>
        </w:tabs>
        <w:jc w:val="center"/>
        <w:rPr>
          <w:sz w:val="24"/>
          <w:szCs w:val="24"/>
        </w:rPr>
      </w:pPr>
    </w:p>
    <w:p w:rsidR="00E76169" w:rsidRDefault="00E76169" w:rsidP="00E76169">
      <w:pPr>
        <w:tabs>
          <w:tab w:val="left" w:pos="5604"/>
        </w:tabs>
        <w:jc w:val="center"/>
        <w:rPr>
          <w:sz w:val="24"/>
          <w:szCs w:val="24"/>
        </w:rPr>
      </w:pPr>
      <w:r w:rsidRPr="0064603F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</w:p>
    <w:p w:rsidR="00E76169" w:rsidRPr="0064603F" w:rsidRDefault="00E76169" w:rsidP="00E76169">
      <w:pPr>
        <w:tabs>
          <w:tab w:val="left" w:pos="5604"/>
        </w:tabs>
        <w:jc w:val="center"/>
        <w:rPr>
          <w:sz w:val="24"/>
          <w:szCs w:val="24"/>
        </w:rPr>
      </w:pPr>
      <w:r w:rsidRPr="0064603F">
        <w:rPr>
          <w:sz w:val="24"/>
          <w:szCs w:val="24"/>
        </w:rPr>
        <w:t xml:space="preserve">организации и осуществления приема граждан депутатами </w:t>
      </w:r>
      <w:r>
        <w:rPr>
          <w:sz w:val="24"/>
          <w:szCs w:val="24"/>
        </w:rPr>
        <w:t>Табу</w:t>
      </w:r>
      <w:r w:rsidRPr="0064603F">
        <w:rPr>
          <w:sz w:val="24"/>
          <w:szCs w:val="24"/>
        </w:rPr>
        <w:t>нского районн</w:t>
      </w:r>
      <w:r w:rsidRPr="0064603F">
        <w:rPr>
          <w:sz w:val="24"/>
          <w:szCs w:val="24"/>
        </w:rPr>
        <w:t>о</w:t>
      </w:r>
      <w:r w:rsidRPr="0064603F">
        <w:rPr>
          <w:sz w:val="24"/>
          <w:szCs w:val="24"/>
        </w:rPr>
        <w:t>го Совета депутатов Алтайского края</w:t>
      </w:r>
    </w:p>
    <w:p w:rsidR="00E76169" w:rsidRPr="0064603F" w:rsidRDefault="00E76169" w:rsidP="00E76169">
      <w:pPr>
        <w:tabs>
          <w:tab w:val="left" w:pos="5604"/>
        </w:tabs>
        <w:jc w:val="both"/>
        <w:rPr>
          <w:sz w:val="24"/>
          <w:szCs w:val="24"/>
        </w:rPr>
      </w:pPr>
      <w:r w:rsidRPr="0064603F">
        <w:rPr>
          <w:sz w:val="24"/>
          <w:szCs w:val="24"/>
        </w:rPr>
        <w:t xml:space="preserve">      1.</w:t>
      </w:r>
      <w:r w:rsidRPr="0064603F">
        <w:rPr>
          <w:b/>
          <w:sz w:val="24"/>
          <w:szCs w:val="24"/>
        </w:rPr>
        <w:t xml:space="preserve"> </w:t>
      </w:r>
      <w:r w:rsidRPr="0064603F">
        <w:rPr>
          <w:sz w:val="24"/>
          <w:szCs w:val="24"/>
        </w:rPr>
        <w:t xml:space="preserve">Прием граждан депутатами </w:t>
      </w:r>
      <w:r>
        <w:rPr>
          <w:sz w:val="24"/>
          <w:szCs w:val="24"/>
        </w:rPr>
        <w:t>Табунского</w:t>
      </w:r>
      <w:r w:rsidRPr="0064603F">
        <w:rPr>
          <w:sz w:val="24"/>
          <w:szCs w:val="24"/>
        </w:rPr>
        <w:t xml:space="preserve"> районного Совета депутатов Алтайского края – одна из </w:t>
      </w:r>
      <w:proofErr w:type="gramStart"/>
      <w:r w:rsidRPr="0064603F">
        <w:rPr>
          <w:sz w:val="24"/>
          <w:szCs w:val="24"/>
        </w:rPr>
        <w:t>форм  деятельности</w:t>
      </w:r>
      <w:proofErr w:type="gramEnd"/>
      <w:r w:rsidRPr="0064603F">
        <w:rPr>
          <w:sz w:val="24"/>
          <w:szCs w:val="24"/>
        </w:rPr>
        <w:t xml:space="preserve"> депутата  </w:t>
      </w:r>
      <w:r>
        <w:rPr>
          <w:sz w:val="24"/>
          <w:szCs w:val="24"/>
        </w:rPr>
        <w:t>Табунского</w:t>
      </w:r>
      <w:r w:rsidRPr="0064603F">
        <w:rPr>
          <w:sz w:val="24"/>
          <w:szCs w:val="24"/>
        </w:rPr>
        <w:t xml:space="preserve"> районного Совета депутатов Алтайского края (далее – депутат).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 </w:t>
      </w:r>
    </w:p>
    <w:p w:rsidR="00E76169" w:rsidRPr="0064603F" w:rsidRDefault="00E76169" w:rsidP="00E76169">
      <w:pPr>
        <w:tabs>
          <w:tab w:val="left" w:pos="5604"/>
        </w:tabs>
        <w:jc w:val="both"/>
        <w:rPr>
          <w:sz w:val="24"/>
          <w:szCs w:val="24"/>
        </w:rPr>
      </w:pPr>
      <w:r w:rsidRPr="0064603F">
        <w:rPr>
          <w:sz w:val="24"/>
          <w:szCs w:val="24"/>
        </w:rPr>
        <w:t xml:space="preserve">      2. Прием граждан депутатами осуществляется в соответствии с Федеральными законами: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иными федеральными законами, Законами Алтайского края: от 29 декабря 2006 года N 152-ЗС «О рассмотрении обращений граждан Российской Федерации на территории Алта</w:t>
      </w:r>
      <w:r w:rsidRPr="0064603F">
        <w:rPr>
          <w:sz w:val="24"/>
          <w:szCs w:val="24"/>
        </w:rPr>
        <w:t>й</w:t>
      </w:r>
      <w:r w:rsidRPr="0064603F">
        <w:rPr>
          <w:sz w:val="24"/>
          <w:szCs w:val="24"/>
        </w:rPr>
        <w:t xml:space="preserve">ского края», от 10.10.2011 № 130-ЗС  «О гарантиях осуществления полномочий депутата, члена выборного органа, выборного должностного лица местного самоуправления в Алтайском крае», Регламентом </w:t>
      </w:r>
      <w:r>
        <w:rPr>
          <w:sz w:val="24"/>
          <w:szCs w:val="24"/>
        </w:rPr>
        <w:t>Табунского</w:t>
      </w:r>
      <w:r w:rsidRPr="0064603F">
        <w:rPr>
          <w:sz w:val="24"/>
          <w:szCs w:val="24"/>
        </w:rPr>
        <w:t xml:space="preserve"> районного Совета депутатов  Алтайского края, настоящим Порядком и иными муниц</w:t>
      </w:r>
      <w:r w:rsidRPr="0064603F">
        <w:rPr>
          <w:sz w:val="24"/>
          <w:szCs w:val="24"/>
        </w:rPr>
        <w:t>и</w:t>
      </w:r>
      <w:r w:rsidRPr="0064603F">
        <w:rPr>
          <w:sz w:val="24"/>
          <w:szCs w:val="24"/>
        </w:rPr>
        <w:t>пальными правовыми актами.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</w:pPr>
      <w:r w:rsidRPr="0064603F">
        <w:tab/>
        <w:t xml:space="preserve">3. Прием граждан может осуществляться в </w:t>
      </w:r>
      <w:proofErr w:type="gramStart"/>
      <w:r>
        <w:t>а</w:t>
      </w:r>
      <w:r w:rsidRPr="0064603F">
        <w:t xml:space="preserve">дминистрации  </w:t>
      </w:r>
      <w:r>
        <w:t>Табунского</w:t>
      </w:r>
      <w:proofErr w:type="gramEnd"/>
      <w:r w:rsidRPr="0064603F">
        <w:t xml:space="preserve"> района, </w:t>
      </w:r>
      <w:r>
        <w:t>а</w:t>
      </w:r>
      <w:r w:rsidRPr="0064603F">
        <w:t>дминистрациях сельсоветов района или по основному месту работы депутата.</w:t>
      </w:r>
      <w:r>
        <w:t xml:space="preserve"> </w:t>
      </w:r>
      <w:r w:rsidRPr="0064603F">
        <w:t xml:space="preserve">Депутат пользуется правом на обеспечение соответствующих условий для осуществления приема. Для организации приема </w:t>
      </w:r>
      <w:r>
        <w:t>а</w:t>
      </w:r>
      <w:r w:rsidRPr="0064603F">
        <w:t xml:space="preserve">дминистрация района, </w:t>
      </w:r>
      <w:r>
        <w:t>а</w:t>
      </w:r>
      <w:r w:rsidRPr="0064603F">
        <w:t>дминистрации сельсоветов района выделя</w:t>
      </w:r>
      <w:r>
        <w:t>ю</w:t>
      </w:r>
      <w:r w:rsidRPr="0064603F">
        <w:t xml:space="preserve">т депутату помещение с телефоном. 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>4. Депутат обязан вести прием регулярно не реже 1 раза в месяц.</w:t>
      </w:r>
      <w:r w:rsidRPr="0064603F">
        <w:rPr>
          <w:color w:val="FF0000"/>
        </w:rPr>
        <w:t xml:space="preserve"> 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firstLine="567"/>
        <w:jc w:val="both"/>
      </w:pPr>
      <w:r w:rsidRPr="0064603F">
        <w:t xml:space="preserve">5. Депутат ведет прием лично. 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firstLine="567"/>
        <w:jc w:val="both"/>
      </w:pPr>
      <w:r w:rsidRPr="0064603F">
        <w:t>6.</w:t>
      </w:r>
      <w:r w:rsidRPr="0064603F">
        <w:rPr>
          <w:b/>
        </w:rPr>
        <w:t xml:space="preserve"> </w:t>
      </w:r>
      <w:r w:rsidRPr="0064603F">
        <w:t xml:space="preserve">Депутат ведет прием в соответствии с настоящим Порядком и Графиком приема депутатами </w:t>
      </w:r>
      <w:r>
        <w:t>Табунского</w:t>
      </w:r>
      <w:r w:rsidRPr="0064603F">
        <w:t xml:space="preserve"> районного Совета депутатов Алта</w:t>
      </w:r>
      <w:r w:rsidRPr="0064603F">
        <w:t>й</w:t>
      </w:r>
      <w:r w:rsidRPr="0064603F">
        <w:t>ского края (далее – График приема).</w:t>
      </w:r>
    </w:p>
    <w:p w:rsidR="00E76169" w:rsidRDefault="00E76169" w:rsidP="00E76169">
      <w:pPr>
        <w:pStyle w:val="listparagraph"/>
        <w:tabs>
          <w:tab w:val="left" w:pos="-567"/>
          <w:tab w:val="left" w:pos="284"/>
          <w:tab w:val="left" w:pos="567"/>
        </w:tabs>
        <w:spacing w:before="0" w:beforeAutospacing="0" w:after="0" w:afterAutospacing="0"/>
        <w:jc w:val="both"/>
      </w:pPr>
      <w:r w:rsidRPr="0064603F">
        <w:t xml:space="preserve">График приема утверждается распоряжением главы </w:t>
      </w:r>
      <w:r>
        <w:t>Табунского</w:t>
      </w:r>
      <w:r w:rsidRPr="0064603F">
        <w:t xml:space="preserve"> района.</w:t>
      </w:r>
      <w:r w:rsidRPr="0022624F">
        <w:t xml:space="preserve"> </w:t>
      </w:r>
      <w:r w:rsidRPr="0064603F">
        <w:t xml:space="preserve">График приема в течение 7 дней после дня его утверждения публикуется на официальном сайте </w:t>
      </w:r>
      <w:r>
        <w:t>а</w:t>
      </w:r>
      <w:r w:rsidRPr="0064603F">
        <w:t>дминистрации района.</w:t>
      </w:r>
      <w:r>
        <w:t xml:space="preserve"> </w:t>
      </w:r>
    </w:p>
    <w:p w:rsidR="00E76169" w:rsidRPr="0064603F" w:rsidRDefault="00E76169" w:rsidP="00E76169">
      <w:pPr>
        <w:pStyle w:val="listparagraph"/>
        <w:tabs>
          <w:tab w:val="left" w:pos="0"/>
        </w:tabs>
        <w:spacing w:before="0" w:beforeAutospacing="0" w:after="0" w:afterAutospacing="0"/>
        <w:jc w:val="both"/>
      </w:pPr>
      <w:r>
        <w:tab/>
      </w:r>
      <w:r w:rsidRPr="0064603F">
        <w:t>График приема содержит следующие сведения о каждом депутате: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firstLine="567"/>
        <w:jc w:val="both"/>
      </w:pPr>
      <w:r>
        <w:t>–</w:t>
      </w:r>
      <w:r>
        <w:tab/>
      </w:r>
      <w:r w:rsidRPr="0064603F">
        <w:t xml:space="preserve"> </w:t>
      </w:r>
      <w:r>
        <w:tab/>
      </w:r>
      <w:r w:rsidRPr="0064603F">
        <w:t>фамили</w:t>
      </w:r>
      <w:r>
        <w:t>я</w:t>
      </w:r>
      <w:r w:rsidRPr="0064603F">
        <w:t>, имя, отчество депутата;</w:t>
      </w:r>
    </w:p>
    <w:p w:rsidR="00E76169" w:rsidRDefault="00E76169" w:rsidP="00E76169">
      <w:pPr>
        <w:pStyle w:val="listparagraph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firstLine="567"/>
        <w:jc w:val="both"/>
      </w:pPr>
      <w:r>
        <w:t>–</w:t>
      </w:r>
      <w:r>
        <w:tab/>
      </w:r>
      <w:r w:rsidRPr="0064603F">
        <w:t xml:space="preserve"> </w:t>
      </w:r>
      <w:r>
        <w:tab/>
      </w:r>
      <w:r w:rsidRPr="0064603F">
        <w:t xml:space="preserve">номер избирательного округа, от которого избран депутат, 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firstLine="567"/>
        <w:jc w:val="both"/>
      </w:pPr>
      <w:r>
        <w:t>–</w:t>
      </w:r>
      <w:r>
        <w:tab/>
      </w:r>
      <w:r>
        <w:tab/>
      </w:r>
      <w:r w:rsidRPr="0064603F">
        <w:t>д</w:t>
      </w:r>
      <w:r>
        <w:t>е</w:t>
      </w:r>
      <w:r w:rsidRPr="0064603F">
        <w:t>н</w:t>
      </w:r>
      <w:r>
        <w:t>ь</w:t>
      </w:r>
      <w:r w:rsidRPr="0064603F">
        <w:t>, мест</w:t>
      </w:r>
      <w:r>
        <w:t xml:space="preserve">о </w:t>
      </w:r>
      <w:r w:rsidRPr="0064603F">
        <w:t>и врем</w:t>
      </w:r>
      <w:r>
        <w:t>я</w:t>
      </w:r>
      <w:r w:rsidRPr="0064603F">
        <w:t xml:space="preserve"> проведения приема. </w:t>
      </w:r>
      <w:r>
        <w:tab/>
      </w:r>
      <w:r>
        <w:tab/>
      </w:r>
      <w:r w:rsidRPr="0064603F">
        <w:t xml:space="preserve"> 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firstLine="567"/>
        <w:jc w:val="both"/>
      </w:pPr>
      <w:r>
        <w:tab/>
      </w:r>
      <w:r w:rsidRPr="0064603F">
        <w:t xml:space="preserve">Продолжительность времени приема, установленная Графиком приема, не может составлять менее 2 часов. </w:t>
      </w:r>
    </w:p>
    <w:p w:rsidR="00E76169" w:rsidRPr="0064603F" w:rsidRDefault="00E76169" w:rsidP="00E76169">
      <w:pPr>
        <w:pStyle w:val="listparagraph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firstLine="567"/>
        <w:jc w:val="both"/>
      </w:pPr>
      <w:r w:rsidRPr="0064603F">
        <w:t xml:space="preserve">7. Прием участников и инвалидов Великой Отечественной войны проводится вне очереди. 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>8. При личном приеме</w:t>
      </w:r>
      <w:r>
        <w:t xml:space="preserve"> г</w:t>
      </w:r>
      <w:r w:rsidRPr="0064603F">
        <w:t>ражданин предъявляет документ, удостоверяющий его личность.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64603F">
        <w:t xml:space="preserve">Депутат заполняет карточку личного приема граждан (приложение к настоящему Порядку). 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 xml:space="preserve">9. В ходе приема гражданин вправе обратиться к депутату с устным или письменным обращением. 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 xml:space="preserve">9.1. </w:t>
      </w:r>
      <w:r>
        <w:t>О</w:t>
      </w:r>
      <w:r w:rsidRPr="0064603F">
        <w:t>бращение, принятое в ходе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>9.2. В случае, если изложенные в устном обращении факты и обстоятельства являются очевидными и не требуют дополнительной проверки, ответ на обращ</w:t>
      </w:r>
      <w:r w:rsidRPr="0064603F">
        <w:t>е</w:t>
      </w:r>
      <w:r w:rsidRPr="0064603F">
        <w:t xml:space="preserve">ние с согласия </w:t>
      </w:r>
      <w:r w:rsidRPr="0064603F">
        <w:lastRenderedPageBreak/>
        <w:t>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E76169" w:rsidRPr="0064603F" w:rsidRDefault="00E76169" w:rsidP="00E7616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64603F">
        <w:t>9.3. Подготовка письменного ответа на устное обращение, поступившее в х</w:t>
      </w:r>
      <w:r w:rsidRPr="0064603F">
        <w:t>о</w:t>
      </w:r>
      <w:r w:rsidRPr="0064603F">
        <w:t xml:space="preserve">де приема, осуществляется в соответствии с правилами, установленными для рассмотрения письменных обращений. </w:t>
      </w:r>
    </w:p>
    <w:p w:rsidR="00E76169" w:rsidRPr="0064603F" w:rsidRDefault="00E76169" w:rsidP="00E76169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4603F">
        <w:rPr>
          <w:sz w:val="24"/>
          <w:szCs w:val="24"/>
        </w:rPr>
        <w:t>10. При рассмотрении обращения не допускается разглашение сведений, содержащихся в обращении, а также сведений, касающихся частной жизни гражд</w:t>
      </w:r>
      <w:r w:rsidRPr="0064603F">
        <w:rPr>
          <w:sz w:val="24"/>
          <w:szCs w:val="24"/>
        </w:rPr>
        <w:t>а</w:t>
      </w:r>
      <w:r w:rsidRPr="0064603F">
        <w:rPr>
          <w:sz w:val="24"/>
          <w:szCs w:val="24"/>
        </w:rPr>
        <w:t>нина без его согласия.</w:t>
      </w:r>
    </w:p>
    <w:p w:rsidR="00E76169" w:rsidRPr="0064603F" w:rsidRDefault="00E76169" w:rsidP="00E76169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4603F">
        <w:rPr>
          <w:sz w:val="24"/>
          <w:szCs w:val="24"/>
        </w:rPr>
        <w:t>11.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E76169" w:rsidRPr="0064603F" w:rsidRDefault="00E76169" w:rsidP="00E76169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4603F">
        <w:rPr>
          <w:sz w:val="24"/>
          <w:szCs w:val="24"/>
        </w:rPr>
        <w:t>12. В ходе приема гражданину может быть отказано в дальнейшем рассмо</w:t>
      </w:r>
      <w:r w:rsidRPr="0064603F">
        <w:rPr>
          <w:sz w:val="24"/>
          <w:szCs w:val="24"/>
        </w:rPr>
        <w:t>т</w:t>
      </w:r>
      <w:r w:rsidRPr="0064603F">
        <w:rPr>
          <w:sz w:val="24"/>
          <w:szCs w:val="24"/>
        </w:rPr>
        <w:t>рении обращения, если ему ранее был дан ответ по существу поставленных в обращении вопросов.</w:t>
      </w:r>
    </w:p>
    <w:p w:rsidR="00E76169" w:rsidRPr="0064603F" w:rsidRDefault="00E76169" w:rsidP="00E76169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4603F">
        <w:rPr>
          <w:sz w:val="24"/>
          <w:szCs w:val="24"/>
        </w:rPr>
        <w:t xml:space="preserve">13. Материалы приема </w:t>
      </w:r>
      <w:r>
        <w:rPr>
          <w:sz w:val="24"/>
          <w:szCs w:val="24"/>
        </w:rPr>
        <w:t xml:space="preserve">граждан </w:t>
      </w:r>
      <w:r w:rsidRPr="0064603F">
        <w:rPr>
          <w:sz w:val="24"/>
          <w:szCs w:val="24"/>
        </w:rPr>
        <w:t xml:space="preserve">хранятся в </w:t>
      </w:r>
      <w:r>
        <w:rPr>
          <w:sz w:val="24"/>
          <w:szCs w:val="24"/>
        </w:rPr>
        <w:t xml:space="preserve">районном Совете депутатов </w:t>
      </w:r>
      <w:r w:rsidRPr="0064603F">
        <w:rPr>
          <w:sz w:val="24"/>
          <w:szCs w:val="24"/>
        </w:rPr>
        <w:t>не менее 5 лет.</w:t>
      </w:r>
    </w:p>
    <w:p w:rsidR="00E76169" w:rsidRPr="0064603F" w:rsidRDefault="00E76169" w:rsidP="00E76169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4603F">
        <w:rPr>
          <w:sz w:val="24"/>
          <w:szCs w:val="24"/>
        </w:rPr>
        <w:t>14. Депутат ежегодно</w:t>
      </w:r>
      <w:r>
        <w:rPr>
          <w:sz w:val="24"/>
          <w:szCs w:val="24"/>
        </w:rPr>
        <w:t>,</w:t>
      </w:r>
      <w:r w:rsidRPr="0064603F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30 марта года</w:t>
      </w:r>
      <w:r w:rsidRPr="0064603F">
        <w:rPr>
          <w:sz w:val="24"/>
          <w:szCs w:val="24"/>
        </w:rPr>
        <w:t>, следующего за о</w:t>
      </w:r>
      <w:r w:rsidRPr="0064603F">
        <w:rPr>
          <w:sz w:val="24"/>
          <w:szCs w:val="24"/>
        </w:rPr>
        <w:t>т</w:t>
      </w:r>
      <w:r w:rsidRPr="0064603F">
        <w:rPr>
          <w:sz w:val="24"/>
          <w:szCs w:val="24"/>
        </w:rPr>
        <w:t xml:space="preserve">четным, представляет в районный </w:t>
      </w:r>
      <w:proofErr w:type="gramStart"/>
      <w:r w:rsidRPr="0064603F">
        <w:rPr>
          <w:sz w:val="24"/>
          <w:szCs w:val="24"/>
        </w:rPr>
        <w:t>Совет  депутатов</w:t>
      </w:r>
      <w:proofErr w:type="gramEnd"/>
      <w:r w:rsidRPr="0064603F">
        <w:rPr>
          <w:sz w:val="24"/>
          <w:szCs w:val="24"/>
        </w:rPr>
        <w:t xml:space="preserve">  отчет о работе с населением</w:t>
      </w:r>
      <w:r>
        <w:rPr>
          <w:sz w:val="24"/>
          <w:szCs w:val="24"/>
        </w:rPr>
        <w:t xml:space="preserve">, </w:t>
      </w:r>
      <w:r w:rsidRPr="0064603F">
        <w:rPr>
          <w:sz w:val="24"/>
          <w:szCs w:val="24"/>
        </w:rPr>
        <w:t>включа</w:t>
      </w:r>
      <w:r>
        <w:rPr>
          <w:sz w:val="24"/>
          <w:szCs w:val="24"/>
        </w:rPr>
        <w:t>ющий</w:t>
      </w:r>
      <w:r w:rsidRPr="0064603F">
        <w:rPr>
          <w:sz w:val="24"/>
          <w:szCs w:val="24"/>
        </w:rPr>
        <w:t xml:space="preserve"> анализ обращений</w:t>
      </w:r>
      <w:r>
        <w:rPr>
          <w:sz w:val="24"/>
          <w:szCs w:val="24"/>
        </w:rPr>
        <w:t>,</w:t>
      </w:r>
      <w:r w:rsidRPr="0064603F">
        <w:rPr>
          <w:sz w:val="24"/>
          <w:szCs w:val="24"/>
        </w:rPr>
        <w:t xml:space="preserve"> п</w:t>
      </w:r>
      <w:r w:rsidRPr="0064603F">
        <w:rPr>
          <w:sz w:val="24"/>
          <w:szCs w:val="24"/>
        </w:rPr>
        <w:t>о</w:t>
      </w:r>
      <w:r w:rsidRPr="0064603F">
        <w:rPr>
          <w:sz w:val="24"/>
          <w:szCs w:val="24"/>
        </w:rPr>
        <w:t>ступивших на личном приеме граждан и сведения о принятых мерах.</w:t>
      </w:r>
    </w:p>
    <w:p w:rsidR="00E76169" w:rsidRPr="001D7DAD" w:rsidRDefault="00E76169" w:rsidP="00E76169">
      <w:pPr>
        <w:pStyle w:val="a3"/>
        <w:jc w:val="left"/>
        <w:rPr>
          <w:szCs w:val="28"/>
        </w:rPr>
      </w:pPr>
      <w:r w:rsidRPr="001D7DAD">
        <w:rPr>
          <w:szCs w:val="28"/>
        </w:rPr>
        <w:t xml:space="preserve">                                 </w:t>
      </w:r>
    </w:p>
    <w:p w:rsidR="00E76169" w:rsidRDefault="00E76169" w:rsidP="00E76169"/>
    <w:p w:rsidR="00E76169" w:rsidRPr="00E76169" w:rsidRDefault="00E76169" w:rsidP="001344D2">
      <w:pPr>
        <w:jc w:val="both"/>
        <w:rPr>
          <w:sz w:val="24"/>
          <w:szCs w:val="24"/>
        </w:rPr>
      </w:pPr>
    </w:p>
    <w:sectPr w:rsidR="00E76169" w:rsidRPr="00E76169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85409"/>
    <w:rsid w:val="001A5091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E6D42"/>
    <w:rsid w:val="005329E4"/>
    <w:rsid w:val="00543B6D"/>
    <w:rsid w:val="007D3B54"/>
    <w:rsid w:val="00830E27"/>
    <w:rsid w:val="00837B78"/>
    <w:rsid w:val="00936A72"/>
    <w:rsid w:val="009612D5"/>
    <w:rsid w:val="00985BCE"/>
    <w:rsid w:val="009F62FF"/>
    <w:rsid w:val="00A55658"/>
    <w:rsid w:val="00A64E01"/>
    <w:rsid w:val="00AA2722"/>
    <w:rsid w:val="00B43B8F"/>
    <w:rsid w:val="00B83D72"/>
    <w:rsid w:val="00BE5DF6"/>
    <w:rsid w:val="00BF2A56"/>
    <w:rsid w:val="00BF57AC"/>
    <w:rsid w:val="00C41474"/>
    <w:rsid w:val="00CD35EF"/>
    <w:rsid w:val="00DB6482"/>
    <w:rsid w:val="00DC69C6"/>
    <w:rsid w:val="00E76169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E72E"/>
  <w15:chartTrackingRefBased/>
  <w15:docId w15:val="{DE2532A4-9207-4B08-95D7-AFA3B64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76169"/>
    <w:rPr>
      <w:b/>
      <w:sz w:val="26"/>
    </w:rPr>
  </w:style>
  <w:style w:type="paragraph" w:customStyle="1" w:styleId="listparagraph">
    <w:name w:val="listparagraph"/>
    <w:basedOn w:val="a"/>
    <w:rsid w:val="00E761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F32F-EACB-4673-B43B-AF035936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 Пилипейко</cp:lastModifiedBy>
  <cp:revision>2</cp:revision>
  <cp:lastPrinted>2016-07-27T05:20:00Z</cp:lastPrinted>
  <dcterms:created xsi:type="dcterms:W3CDTF">2016-08-03T14:58:00Z</dcterms:created>
  <dcterms:modified xsi:type="dcterms:W3CDTF">2016-08-03T14:58:00Z</dcterms:modified>
</cp:coreProperties>
</file>